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附件</w:t>
      </w:r>
      <w:bookmarkStart w:id="0" w:name="_GoBack"/>
      <w:bookmarkEnd w:id="0"/>
    </w:p>
    <w:p>
      <w:pPr>
        <w:overflowPunct w:val="0"/>
        <w:spacing w:line="580" w:lineRule="exact"/>
        <w:rPr>
          <w:rFonts w:ascii="Times New Roman" w:hAnsi="Times New Roman" w:eastAsia="黑体"/>
          <w:color w:val="000000" w:themeColor="text1"/>
          <w:sz w:val="32"/>
          <w:szCs w:val="32"/>
          <w14:textFill>
            <w14:solidFill>
              <w14:schemeClr w14:val="tx1"/>
            </w14:solidFill>
          </w14:textFill>
        </w:rPr>
      </w:pPr>
    </w:p>
    <w:p>
      <w:pPr>
        <w:overflowPunct w:val="0"/>
        <w:spacing w:line="580" w:lineRule="exact"/>
        <w:rPr>
          <w:rFonts w:ascii="Times New Roman" w:hAnsi="Times New Roman" w:eastAsia="黑体"/>
          <w:color w:val="000000" w:themeColor="text1"/>
          <w:sz w:val="32"/>
          <w:szCs w:val="32"/>
          <w14:textFill>
            <w14:solidFill>
              <w14:schemeClr w14:val="tx1"/>
            </w14:solidFill>
          </w14:textFill>
        </w:rPr>
      </w:pPr>
    </w:p>
    <w:p>
      <w:pPr>
        <w:overflowPunct w:val="0"/>
        <w:spacing w:line="580" w:lineRule="exact"/>
        <w:rPr>
          <w:rFonts w:ascii="Times New Roman" w:hAnsi="Times New Roman" w:eastAsia="方正小标宋简体"/>
          <w:color w:val="000000" w:themeColor="text1"/>
          <w:sz w:val="44"/>
          <w:szCs w:val="44"/>
          <w14:textFill>
            <w14:solidFill>
              <w14:schemeClr w14:val="tx1"/>
            </w14:solidFill>
          </w14:textFill>
        </w:rPr>
      </w:pPr>
      <w:r>
        <w:rPr>
          <w:rFonts w:ascii="Times New Roman" w:hAnsi="Times New Roman" w:eastAsia="方正小标宋简体"/>
          <w:color w:val="000000" w:themeColor="text1"/>
          <w:sz w:val="44"/>
          <w:szCs w:val="44"/>
          <w14:textFill>
            <w14:solidFill>
              <w14:schemeClr w14:val="tx1"/>
            </w14:solidFill>
          </w14:textFill>
        </w:rPr>
        <w:t>市人大常委会2020年度规范性文件备案目录</w:t>
      </w:r>
    </w:p>
    <w:p>
      <w:pPr>
        <w:overflowPunct w:val="0"/>
        <w:spacing w:line="580" w:lineRule="exact"/>
        <w:rPr>
          <w:rFonts w:ascii="Times New Roman" w:hAnsi="Times New Roman" w:eastAsia="楷体_GB2312"/>
          <w:color w:val="000000" w:themeColor="text1"/>
          <w:sz w:val="32"/>
          <w:szCs w:val="32"/>
          <w14:textFill>
            <w14:solidFill>
              <w14:schemeClr w14:val="tx1"/>
            </w14:solidFill>
          </w14:textFill>
        </w:rPr>
      </w:pPr>
    </w:p>
    <w:tbl>
      <w:tblPr>
        <w:tblStyle w:val="3"/>
        <w:tblW w:w="5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4824"/>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915" w:type="pct"/>
            <w:vAlign w:val="center"/>
          </w:tcPr>
          <w:p>
            <w:pPr>
              <w:overflowPunct w:val="0"/>
              <w:spacing w:line="490" w:lineRule="exact"/>
              <w:jc w:val="center"/>
              <w:rPr>
                <w:rFonts w:ascii="Times New Roman" w:hAnsi="Times New Roman" w:eastAsia="黑体"/>
                <w:bCs/>
                <w:color w:val="000000" w:themeColor="text1"/>
                <w:kern w:val="0"/>
                <w:sz w:val="28"/>
                <w:szCs w:val="28"/>
                <w14:textFill>
                  <w14:solidFill>
                    <w14:schemeClr w14:val="tx1"/>
                  </w14:solidFill>
                </w14:textFill>
              </w:rPr>
            </w:pPr>
            <w:r>
              <w:rPr>
                <w:rFonts w:ascii="Times New Roman" w:hAnsi="Times New Roman" w:eastAsia="黑体"/>
                <w:bCs/>
                <w:color w:val="000000" w:themeColor="text1"/>
                <w:kern w:val="0"/>
                <w:sz w:val="28"/>
                <w:szCs w:val="28"/>
                <w14:textFill>
                  <w14:solidFill>
                    <w14:schemeClr w14:val="tx1"/>
                  </w14:solidFill>
                </w14:textFill>
              </w:rPr>
              <w:t>备案编号</w:t>
            </w:r>
          </w:p>
        </w:tc>
        <w:tc>
          <w:tcPr>
            <w:tcW w:w="2710" w:type="pct"/>
            <w:vAlign w:val="center"/>
          </w:tcPr>
          <w:p>
            <w:pPr>
              <w:overflowPunct w:val="0"/>
              <w:spacing w:line="490" w:lineRule="exact"/>
              <w:jc w:val="center"/>
              <w:rPr>
                <w:rFonts w:ascii="Times New Roman" w:hAnsi="Times New Roman" w:eastAsia="黑体"/>
                <w:bCs/>
                <w:color w:val="000000" w:themeColor="text1"/>
                <w:kern w:val="0"/>
                <w:sz w:val="28"/>
                <w:szCs w:val="28"/>
                <w14:textFill>
                  <w14:solidFill>
                    <w14:schemeClr w14:val="tx1"/>
                  </w14:solidFill>
                </w14:textFill>
              </w:rPr>
            </w:pPr>
            <w:r>
              <w:rPr>
                <w:rFonts w:ascii="Times New Roman" w:hAnsi="Times New Roman" w:eastAsia="黑体"/>
                <w:bCs/>
                <w:color w:val="000000" w:themeColor="text1"/>
                <w:kern w:val="0"/>
                <w:sz w:val="28"/>
                <w:szCs w:val="28"/>
                <w14:textFill>
                  <w14:solidFill>
                    <w14:schemeClr w14:val="tx1"/>
                  </w14:solidFill>
                </w14:textFill>
              </w:rPr>
              <w:t>规范性文件名称</w:t>
            </w:r>
          </w:p>
        </w:tc>
        <w:tc>
          <w:tcPr>
            <w:tcW w:w="1375" w:type="pct"/>
            <w:vAlign w:val="center"/>
          </w:tcPr>
          <w:p>
            <w:pPr>
              <w:overflowPunct w:val="0"/>
              <w:spacing w:line="490" w:lineRule="exact"/>
              <w:jc w:val="center"/>
              <w:rPr>
                <w:rFonts w:ascii="Times New Roman" w:hAnsi="Times New Roman" w:eastAsia="黑体"/>
                <w:bCs/>
                <w:color w:val="000000" w:themeColor="text1"/>
                <w:kern w:val="0"/>
                <w:sz w:val="28"/>
                <w:szCs w:val="28"/>
                <w14:textFill>
                  <w14:solidFill>
                    <w14:schemeClr w14:val="tx1"/>
                  </w14:solidFill>
                </w14:textFill>
              </w:rPr>
            </w:pPr>
            <w:r>
              <w:rPr>
                <w:rFonts w:ascii="Times New Roman" w:hAnsi="Times New Roman" w:eastAsia="黑体"/>
                <w:bCs/>
                <w:color w:val="000000" w:themeColor="text1"/>
                <w:kern w:val="0"/>
                <w:sz w:val="28"/>
                <w:szCs w:val="28"/>
                <w14:textFill>
                  <w14:solidFill>
                    <w14:schemeClr w14:val="tx1"/>
                  </w14:solidFill>
                </w14:textFill>
              </w:rPr>
              <w:t>规范性文件文号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202000001</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北京市公共场所外语标识管理规定</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市政府令</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第291号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202000002</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北京市人民政府关于进一步明确责任加强新型冠状病毒感染的肺炎预防控制工作的通知</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202000003</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北京市人民政府关于在新型冠状病毒感染的肺炎疫情防控期间本市企业灵活安排工作的通知</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202000004</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北京市人民政府关于新型冠状病毒肺炎疫情防控期间市场监管部门加强相关防疫工作检查执法有关事项的决定</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202000005</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北京市人民政府办公厅关于印发《改革完善医疗卫生行业综合监管制度的实施方案》的通知</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京政办发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sz w:val="28"/>
                <w:szCs w:val="28"/>
              </w:rPr>
              <w:t>202000006</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北京市人民政府办公厅关于落实</w:t>
            </w:r>
            <w:r>
              <w:rPr>
                <w:rFonts w:hint="eastAsia" w:ascii="Times New Roman" w:hAnsi="Times New Roman" w:eastAsia="仿宋_GB2312"/>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四方责任</w:t>
            </w:r>
            <w:r>
              <w:rPr>
                <w:rFonts w:hint="eastAsia" w:ascii="Times New Roman" w:hAnsi="Times New Roman" w:eastAsia="仿宋_GB2312"/>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进一步加强重点人群、场所和单位新型冠状病毒感染的肺炎疫情防控工作的通知</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京政办发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202000007</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北京市人民政府办公厅关于进一步支持打好新型冠状病毒感染的肺炎疫情防控阻击战若干措施</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京政办发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202000008</w:t>
            </w:r>
          </w:p>
        </w:tc>
        <w:tc>
          <w:tcPr>
            <w:tcW w:w="2710" w:type="pc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北京市人民政府办公厅关于印发《2020年北京市交通综合治理行动计划》的通知</w:t>
            </w:r>
          </w:p>
        </w:tc>
        <w:tc>
          <w:tcPr>
            <w:tcW w:w="1375" w:type="pct"/>
            <w:tcBorders>
              <w:top w:val="single" w:color="auto" w:sz="4" w:space="0"/>
              <w:left w:val="nil"/>
              <w:bottom w:val="single" w:color="auto" w:sz="4" w:space="0"/>
              <w:right w:val="single" w:color="auto" w:sz="4" w:space="0"/>
            </w:tcBorders>
            <w:shd w:val="clear" w:color="auto" w:fill="auto"/>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京政办发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202000009</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北京市人民政府办公厅关于应对新型冠状病毒感染的肺炎疫情影响促进中小微企业持续健康发展的若干措施</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京政办发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202000010</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北京市人民政府关于废止《北京市城市建设临时用地和临时建设工程管理暂行规定》等10项规章的决定</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市政府令</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第292号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202000011</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北京市人民政府关于废止《北京市人民政府关于加强农村村民建房用地管理若干规定》的决定</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市政府令</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第294号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202000012</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北京市人民政府关于新型冠状病毒肺炎疫情防控期间应急管理部门加强对工业企业防疫工作检查执法有关事项的决定</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202000013</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北京市人民政府办公厅关于印发《北京市污染防治攻坚战2020年行动计划》的通知</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京政办发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202000014</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北京市建筑垃圾处置管理规定</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市政府令</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第293号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202000015</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北京市人民政府关于印发《北京市战略留白用地管理办法》的通知</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202000016</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北京市人民政府关于实施工作日高峰时段区域限行交通管理措施的通告</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202000017</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北京市人民政府关于落实户有所居加强农村宅基地及房屋建设管理的指导意见</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202000018</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北京市人民政府关于向街道办事处和乡镇人民政府下放部分行政执法职权并实行综合执法的决定</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202000019</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北京市人民政府办公厅关于印发《北京市积分落户管理办法》的通知</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京政办发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202000020</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北京市人民政府办公厅印发《关于全力做好疫情防控工作保障企业有序复工复产的若干措施》的通知</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京政办发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202000021</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北京市人民政府办公厅关于印发《北京市2020年棚户区改造和环境整治任务》的通知</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京政办发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202000022</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北京市人民政府办公厅关于印发《北京市进一步促进高排放老旧机动车淘汰更新方案（2020－2021年）》的通知</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京政办发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202000023</w:t>
            </w:r>
          </w:p>
        </w:tc>
        <w:tc>
          <w:tcPr>
            <w:tcW w:w="2710" w:type="pct"/>
            <w:noWrap/>
            <w:vAlign w:val="bottom"/>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北京市人民政府办公厅关于印发《进一步支持中小微企业应对疫情影响保持平稳发展若干措施》的通知</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京政办发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202000024</w:t>
            </w:r>
          </w:p>
        </w:tc>
        <w:tc>
          <w:tcPr>
            <w:tcW w:w="2710" w:type="pct"/>
            <w:noWrap/>
            <w:vAlign w:val="bottom"/>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北京市人民政府办公厅关于印发《北京市进一步调整优化结构提高教育经费使用效益的实施方案》的通知</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京政办发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202000025</w:t>
            </w:r>
          </w:p>
        </w:tc>
        <w:tc>
          <w:tcPr>
            <w:tcW w:w="2710" w:type="pct"/>
            <w:noWrap/>
            <w:vAlign w:val="bottom"/>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北京市人民政府办公厅印发《关于加快推进养老服务发展的实施方案》的通知</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京政办发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202000026</w:t>
            </w:r>
          </w:p>
        </w:tc>
        <w:tc>
          <w:tcPr>
            <w:tcW w:w="2710" w:type="pct"/>
            <w:noWrap/>
            <w:vAlign w:val="bottom"/>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北京市人民政府办公厅关于印发《关于加强本市院前医疗急救体系建设的实施方案》的通知</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京政办发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202000027</w:t>
            </w:r>
          </w:p>
        </w:tc>
        <w:tc>
          <w:tcPr>
            <w:tcW w:w="2710" w:type="pct"/>
            <w:noWrap/>
            <w:vAlign w:val="bottom"/>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北京市人民政府办公厅关于印发《北京市区块链创新发展行动计划（2020－2022年）》的通知</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京政办发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202000028</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北京市禁止违法建设若干规定</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市政府令</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第295号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202000029</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北京市小客车数量调控暂行规定</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市政府令</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第296号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202000030</w:t>
            </w:r>
          </w:p>
        </w:tc>
        <w:tc>
          <w:tcPr>
            <w:tcW w:w="2710" w:type="pct"/>
            <w:noWrap/>
            <w:vAlign w:val="bottom"/>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北京市人民政府办公厅关于印发《北京市长安街及其延长线市容环境景观管理规定》的通知</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京政办发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202000031</w:t>
            </w:r>
          </w:p>
        </w:tc>
        <w:tc>
          <w:tcPr>
            <w:tcW w:w="2710" w:type="pct"/>
            <w:noWrap/>
            <w:vAlign w:val="bottom"/>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  河北省人民政府办公厅关于印发《京冀密云水库水源保护共同行动方案》的通知</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京政办发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202000032</w:t>
            </w:r>
          </w:p>
        </w:tc>
        <w:tc>
          <w:tcPr>
            <w:tcW w:w="2710" w:type="pct"/>
            <w:noWrap/>
            <w:vAlign w:val="bottom"/>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北京市人民政府关于进一步相对集中相关领域行政处罚权的决定</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202000033</w:t>
            </w:r>
          </w:p>
        </w:tc>
        <w:tc>
          <w:tcPr>
            <w:tcW w:w="2710" w:type="pct"/>
            <w:noWrap/>
            <w:vAlign w:val="center"/>
          </w:tcPr>
          <w:p>
            <w:pPr>
              <w:overflowPunct w:val="0"/>
              <w:spacing w:line="490" w:lineRule="exact"/>
              <w:rPr>
                <w:rFonts w:ascii="Times New Roman" w:hAnsi="Times New Roman" w:eastAsia="仿宋_GB2312"/>
                <w:color w:val="000000" w:themeColor="text1"/>
                <w:spacing w:val="-4"/>
                <w:sz w:val="28"/>
                <w:szCs w:val="28"/>
                <w14:textFill>
                  <w14:solidFill>
                    <w14:schemeClr w14:val="tx1"/>
                  </w14:solidFill>
                </w14:textFill>
              </w:rPr>
            </w:pPr>
            <w:r>
              <w:rPr>
                <w:rFonts w:ascii="Times New Roman" w:hAnsi="Times New Roman" w:eastAsia="仿宋_GB2312"/>
                <w:color w:val="000000" w:themeColor="text1"/>
                <w:spacing w:val="-4"/>
                <w:sz w:val="28"/>
                <w:szCs w:val="28"/>
                <w14:textFill>
                  <w14:solidFill>
                    <w14:schemeClr w14:val="tx1"/>
                  </w14:solidFill>
                </w14:textFill>
              </w:rPr>
              <w:t>北京市人民政府关于修订部分文件的决定</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202000034</w:t>
            </w:r>
          </w:p>
        </w:tc>
        <w:tc>
          <w:tcPr>
            <w:tcW w:w="2710" w:type="pct"/>
            <w:noWrap/>
            <w:vAlign w:val="bottom"/>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北京市人民政府关于由北京大兴国际机场临空经济区（大兴）管理委员会和大兴区政府有关部门行使部分行政权力办理部分公共服务事项的决定</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202000035</w:t>
            </w:r>
          </w:p>
        </w:tc>
        <w:tc>
          <w:tcPr>
            <w:tcW w:w="2710" w:type="pct"/>
            <w:noWrap/>
            <w:vAlign w:val="bottom"/>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北京市人民政府关于印发《北京市划转部分国有资本充实社保基金实施方案》的通知</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202000036</w:t>
            </w:r>
          </w:p>
        </w:tc>
        <w:tc>
          <w:tcPr>
            <w:tcW w:w="2710" w:type="pct"/>
            <w:noWrap/>
            <w:vAlign w:val="bottom"/>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北京市人民政府关于健全完善保障农民工工资支付制度机制建设的意见</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202000037</w:t>
            </w:r>
          </w:p>
        </w:tc>
        <w:tc>
          <w:tcPr>
            <w:tcW w:w="2710" w:type="pct"/>
            <w:noWrap/>
            <w:vAlign w:val="bottom"/>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北京市人民政府办公厅关于印发《北京市进一步优化营商环境更好服务市场主体实施方案》的通知</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京政办发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202000038</w:t>
            </w:r>
          </w:p>
        </w:tc>
        <w:tc>
          <w:tcPr>
            <w:tcW w:w="2710" w:type="pct"/>
            <w:noWrap/>
            <w:vAlign w:val="bottom"/>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北京市人民政府办公厅印发《关于加快推进北京市社会信用体系建设构建以信用为基础的新型监管机制三年行动计划（2020－2022年）》的通知</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京政办发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202000039</w:t>
            </w:r>
          </w:p>
        </w:tc>
        <w:tc>
          <w:tcPr>
            <w:tcW w:w="2710" w:type="pct"/>
            <w:noWrap/>
            <w:vAlign w:val="bottom"/>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北京市人民政府关于宣布失效部分市政府文件的决定</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202000040</w:t>
            </w:r>
          </w:p>
        </w:tc>
        <w:tc>
          <w:tcPr>
            <w:tcW w:w="2710" w:type="pct"/>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北京市人民政府关于加强对商务楼宇、商场和餐馆新型冠状病毒肺炎疫情防控工作检查执法有关事项的决定</w:t>
            </w:r>
          </w:p>
        </w:tc>
        <w:tc>
          <w:tcPr>
            <w:tcW w:w="137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202000041</w:t>
            </w:r>
          </w:p>
        </w:tc>
        <w:tc>
          <w:tcPr>
            <w:tcW w:w="2710" w:type="pct"/>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北京市人民政府关于由北京城市副中心管理委员会行使部分市级行政权力的决定</w:t>
            </w:r>
          </w:p>
        </w:tc>
        <w:tc>
          <w:tcPr>
            <w:tcW w:w="137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京政发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202001001</w:t>
            </w:r>
          </w:p>
        </w:tc>
        <w:tc>
          <w:tcPr>
            <w:tcW w:w="2710" w:type="pct"/>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北京市东城区人民代表大会代表履职管理办法（试行）</w:t>
            </w:r>
          </w:p>
        </w:tc>
        <w:tc>
          <w:tcPr>
            <w:tcW w:w="137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东常字</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202001002</w:t>
            </w:r>
          </w:p>
        </w:tc>
        <w:tc>
          <w:tcPr>
            <w:tcW w:w="2710" w:type="pct"/>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北京市东城区人民代表大会常务委员会专题询问办法</w:t>
            </w:r>
          </w:p>
        </w:tc>
        <w:tc>
          <w:tcPr>
            <w:tcW w:w="137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东常字</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202002001</w:t>
            </w:r>
          </w:p>
        </w:tc>
        <w:tc>
          <w:tcPr>
            <w:tcW w:w="2710" w:type="pct"/>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北京市西城区人民代表大会常务委员会关于讨论决定重大事项的规定</w:t>
            </w:r>
          </w:p>
        </w:tc>
        <w:tc>
          <w:tcPr>
            <w:tcW w:w="137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京西常发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202002002</w:t>
            </w:r>
          </w:p>
        </w:tc>
        <w:tc>
          <w:tcPr>
            <w:tcW w:w="2710" w:type="pct"/>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北京市西城区国家工作人员宪法宣誓组织办法</w:t>
            </w:r>
          </w:p>
        </w:tc>
        <w:tc>
          <w:tcPr>
            <w:tcW w:w="137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京西常发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202002003</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北京市西城区人民代表大会专门委员会工作规则</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京西常发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202002004</w:t>
            </w:r>
          </w:p>
        </w:tc>
        <w:tc>
          <w:tcPr>
            <w:tcW w:w="2710" w:type="pct"/>
            <w:noWrap/>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北京市西城区国民经济和社会发展计划审查监督办法</w:t>
            </w:r>
          </w:p>
        </w:tc>
        <w:tc>
          <w:tcPr>
            <w:tcW w:w="1375" w:type="pct"/>
            <w:noWrap/>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京西常发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202007001</w:t>
            </w:r>
          </w:p>
        </w:tc>
        <w:tc>
          <w:tcPr>
            <w:tcW w:w="2710" w:type="pct"/>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门头沟区人民代表大会常务委员会关于全面加强生态环境保护聚力打造</w:t>
            </w:r>
            <w:r>
              <w:rPr>
                <w:rFonts w:hint="eastAsia" w:ascii="Times New Roman" w:hAnsi="Times New Roman" w:eastAsia="仿宋_GB2312"/>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绿水青山门头沟</w:t>
            </w:r>
            <w:r>
              <w:rPr>
                <w:rFonts w:hint="eastAsia" w:ascii="Times New Roman" w:hAnsi="Times New Roman" w:eastAsia="仿宋_GB2312"/>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的决定</w:t>
            </w:r>
          </w:p>
        </w:tc>
        <w:tc>
          <w:tcPr>
            <w:tcW w:w="137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门常发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202030001</w:t>
            </w:r>
          </w:p>
        </w:tc>
        <w:tc>
          <w:tcPr>
            <w:tcW w:w="2710" w:type="pct"/>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北京市生态环境局关于发布《北京市重型汽车和非道路移动机械排放远程监测管</w:t>
            </w:r>
            <w:r>
              <w:rPr>
                <w:rFonts w:ascii="Times New Roman" w:hAnsi="Times New Roman" w:eastAsia="仿宋_GB2312"/>
                <w:color w:val="000000" w:themeColor="text1"/>
                <w:spacing w:val="-4"/>
                <w:sz w:val="28"/>
                <w:szCs w:val="28"/>
                <w14:textFill>
                  <w14:solidFill>
                    <w14:schemeClr w14:val="tx1"/>
                  </w14:solidFill>
                </w14:textFill>
              </w:rPr>
              <w:t>理车载终端安装管理办法（试行）》的通告</w:t>
            </w:r>
          </w:p>
        </w:tc>
        <w:tc>
          <w:tcPr>
            <w:tcW w:w="137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京环发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202030002</w:t>
            </w:r>
          </w:p>
        </w:tc>
        <w:tc>
          <w:tcPr>
            <w:tcW w:w="2710" w:type="pct"/>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北京市生态环境局关于发布《北京市非道路移动机械登记管理办法（试行）》的通告</w:t>
            </w:r>
          </w:p>
        </w:tc>
        <w:tc>
          <w:tcPr>
            <w:tcW w:w="137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京环发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202030003</w:t>
            </w:r>
          </w:p>
        </w:tc>
        <w:tc>
          <w:tcPr>
            <w:tcW w:w="2710" w:type="pct"/>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北京市生态环境局关于印发《北京市机动车排放检验管理规范》的通知</w:t>
            </w:r>
          </w:p>
        </w:tc>
        <w:tc>
          <w:tcPr>
            <w:tcW w:w="137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京环发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202030004</w:t>
            </w:r>
          </w:p>
        </w:tc>
        <w:tc>
          <w:tcPr>
            <w:tcW w:w="2710" w:type="pct"/>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北京市市场监督管理局关于印发进一步推进市场主体登记便利化优化营商环境实施办法的通知</w:t>
            </w:r>
          </w:p>
        </w:tc>
        <w:tc>
          <w:tcPr>
            <w:tcW w:w="137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京市监发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202030005</w:t>
            </w:r>
          </w:p>
        </w:tc>
        <w:tc>
          <w:tcPr>
            <w:tcW w:w="2710" w:type="pct"/>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北京市市场主体登记告知承诺制度实施意见</w:t>
            </w:r>
          </w:p>
        </w:tc>
        <w:tc>
          <w:tcPr>
            <w:tcW w:w="137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京市监发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202030006</w:t>
            </w:r>
          </w:p>
        </w:tc>
        <w:tc>
          <w:tcPr>
            <w:tcW w:w="2710" w:type="pct"/>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北京市财政局  北京市市场监督管理局关于印发《实施首都标准化战略补助资金管理办法》的通知</w:t>
            </w:r>
          </w:p>
        </w:tc>
        <w:tc>
          <w:tcPr>
            <w:tcW w:w="137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京财党政群</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〔2020〕343号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202030007</w:t>
            </w:r>
          </w:p>
        </w:tc>
        <w:tc>
          <w:tcPr>
            <w:tcW w:w="2710" w:type="pct"/>
            <w:vAlign w:val="center"/>
          </w:tcPr>
          <w:p>
            <w:pPr>
              <w:overflowPunct w:val="0"/>
              <w:spacing w:line="49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北京市人民政府行政审批制度改革办公室关于印发《北京市政务服务事项告知承诺审批管理办法》的通知</w:t>
            </w:r>
          </w:p>
        </w:tc>
        <w:tc>
          <w:tcPr>
            <w:tcW w:w="1375" w:type="pct"/>
            <w:vAlign w:val="center"/>
          </w:tcPr>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京审改办发</w:t>
            </w:r>
          </w:p>
          <w:p>
            <w:pPr>
              <w:overflowPunct w:val="0"/>
              <w:spacing w:line="49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〔2020〕1号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C7CBE"/>
    <w:rsid w:val="534C7C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2021-03-16T07:37:00Z</dcterms:created>
  <dc:creator>兔喵喵</dc:creator>
  <cp:lastModifiedBy>兔喵喵</cp:lastModifiedBy>
  <dcterms:modified xsi:type="dcterms:W3CDTF">2021-03-16T07:45:53Z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