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52"/>
          <w:szCs w:val="20"/>
        </w:rPr>
      </w:pPr>
    </w:p>
    <w:p>
      <w:pPr>
        <w:jc w:val="center"/>
        <w:rPr>
          <w:rFonts w:ascii="方正小标宋简体" w:eastAsia="方正小标宋简体"/>
          <w:sz w:val="52"/>
          <w:szCs w:val="20"/>
        </w:rPr>
      </w:pPr>
    </w:p>
    <w:p>
      <w:pPr>
        <w:ind w:firstLine="1044" w:firstLineChars="200"/>
        <w:jc w:val="center"/>
        <w:rPr>
          <w:rFonts w:ascii="宋体" w:hAnsi="宋体" w:cs="宋体"/>
          <w:b/>
          <w:sz w:val="52"/>
          <w:szCs w:val="20"/>
        </w:rPr>
      </w:pPr>
    </w:p>
    <w:p>
      <w:pPr>
        <w:jc w:val="center"/>
        <w:rPr>
          <w:rFonts w:ascii="宋体" w:hAnsi="宋体" w:cs="宋体"/>
          <w:b/>
          <w:sz w:val="44"/>
          <w:szCs w:val="44"/>
        </w:rPr>
      </w:pPr>
      <w:r>
        <w:rPr>
          <w:rFonts w:hint="eastAsia" w:ascii="宋体" w:hAnsi="宋体" w:cs="宋体"/>
          <w:b/>
          <w:sz w:val="44"/>
          <w:szCs w:val="44"/>
        </w:rPr>
        <w:t>北京市人民代表大会常务委员会</w:t>
      </w:r>
    </w:p>
    <w:p>
      <w:pPr>
        <w:jc w:val="center"/>
        <w:rPr>
          <w:rFonts w:ascii="宋体" w:hAnsi="宋体" w:cs="宋体"/>
          <w:b/>
          <w:sz w:val="44"/>
          <w:szCs w:val="44"/>
        </w:rPr>
      </w:pPr>
      <w:r>
        <w:rPr>
          <w:rFonts w:hint="eastAsia" w:ascii="宋体" w:hAnsi="宋体" w:cs="宋体"/>
          <w:b/>
          <w:sz w:val="44"/>
          <w:szCs w:val="44"/>
        </w:rPr>
        <w:t>市人大代表履职培训经费</w:t>
      </w:r>
    </w:p>
    <w:p>
      <w:pPr>
        <w:jc w:val="center"/>
        <w:rPr>
          <w:rFonts w:ascii="宋体" w:hAnsi="宋体" w:cs="宋体"/>
          <w:b/>
          <w:sz w:val="44"/>
          <w:szCs w:val="44"/>
        </w:rPr>
      </w:pPr>
      <w:r>
        <w:rPr>
          <w:rFonts w:hint="eastAsia" w:ascii="宋体" w:hAnsi="宋体" w:cs="宋体"/>
          <w:b/>
          <w:sz w:val="44"/>
          <w:szCs w:val="44"/>
        </w:rPr>
        <w:t>绩效评价报告</w:t>
      </w:r>
    </w:p>
    <w:p>
      <w:pPr>
        <w:jc w:val="center"/>
        <w:rPr>
          <w:rFonts w:eastAsia="仿宋_GB2312"/>
          <w:sz w:val="30"/>
          <w:szCs w:val="20"/>
        </w:rPr>
      </w:pPr>
    </w:p>
    <w:p>
      <w:pPr>
        <w:spacing w:line="900" w:lineRule="exact"/>
        <w:ind w:left="210" w:leftChars="100" w:firstLine="320" w:firstLineChars="100"/>
        <w:rPr>
          <w:rFonts w:eastAsia="仿宋_GB2312"/>
          <w:sz w:val="32"/>
          <w:szCs w:val="32"/>
          <w:u w:val="single"/>
        </w:rPr>
      </w:pPr>
      <w:r>
        <w:rPr>
          <w:rFonts w:eastAsia="仿宋_GB2312"/>
          <w:sz w:val="32"/>
          <w:szCs w:val="32"/>
        </w:rPr>
        <w:t xml:space="preserve">主管部门  </w:t>
      </w:r>
      <w:r>
        <w:rPr>
          <w:rFonts w:eastAsia="仿宋_GB2312"/>
          <w:sz w:val="32"/>
          <w:szCs w:val="32"/>
          <w:u w:val="single"/>
        </w:rPr>
        <w:t xml:space="preserve"> </w:t>
      </w:r>
      <w:r>
        <w:rPr>
          <w:rFonts w:eastAsia="仿宋_GB2312"/>
          <w:sz w:val="32"/>
          <w:szCs w:val="32"/>
          <w:u w:val="single"/>
        </w:rPr>
        <w:tab/>
      </w:r>
      <w:r>
        <w:rPr>
          <w:rFonts w:eastAsia="仿宋_GB2312"/>
          <w:sz w:val="32"/>
          <w:szCs w:val="32"/>
          <w:u w:val="single"/>
        </w:rPr>
        <w:t>北京市人民代表大会常务委员会办公厅</w:t>
      </w:r>
      <w:r>
        <w:rPr>
          <w:rFonts w:eastAsia="仿宋_GB2312"/>
          <w:sz w:val="32"/>
          <w:szCs w:val="32"/>
          <w:u w:val="single"/>
        </w:rPr>
        <w:tab/>
      </w:r>
      <w:r>
        <w:rPr>
          <w:rFonts w:eastAsia="仿宋_GB2312"/>
          <w:sz w:val="32"/>
          <w:szCs w:val="32"/>
          <w:u w:val="single"/>
        </w:rPr>
        <w:tab/>
      </w:r>
      <w:r>
        <w:rPr>
          <w:rFonts w:hint="eastAsia" w:eastAsia="仿宋_GB2312"/>
          <w:sz w:val="32"/>
          <w:szCs w:val="32"/>
          <w:u w:val="single"/>
        </w:rPr>
        <w:t xml:space="preserve"> </w:t>
      </w:r>
      <w:r>
        <w:rPr>
          <w:rFonts w:eastAsia="仿宋_GB2312"/>
          <w:sz w:val="32"/>
          <w:szCs w:val="32"/>
          <w:u w:val="single"/>
        </w:rPr>
        <w:t xml:space="preserve">   </w:t>
      </w:r>
      <w:r>
        <w:rPr>
          <w:rFonts w:hint="eastAsia" w:eastAsia="仿宋_GB2312"/>
          <w:sz w:val="32"/>
          <w:szCs w:val="32"/>
          <w:u w:val="single"/>
        </w:rPr>
        <w:t xml:space="preserve"> </w:t>
      </w:r>
      <w:r>
        <w:rPr>
          <w:rFonts w:eastAsia="仿宋_GB2312"/>
          <w:sz w:val="32"/>
          <w:szCs w:val="32"/>
          <w:u w:val="single"/>
        </w:rPr>
        <w:t xml:space="preserve">    </w:t>
      </w:r>
      <w:r>
        <w:rPr>
          <w:rFonts w:eastAsia="仿宋_GB2312"/>
          <w:kern w:val="10"/>
          <w:sz w:val="32"/>
          <w:szCs w:val="32"/>
          <w:u w:val="single"/>
        </w:rPr>
        <w:t xml:space="preserve">        </w:t>
      </w:r>
    </w:p>
    <w:p>
      <w:pPr>
        <w:spacing w:line="900" w:lineRule="exact"/>
        <w:ind w:left="210" w:leftChars="100" w:firstLine="320" w:firstLineChars="100"/>
        <w:rPr>
          <w:rFonts w:eastAsia="仿宋_GB2312"/>
          <w:kern w:val="10"/>
          <w:sz w:val="32"/>
          <w:szCs w:val="32"/>
          <w:u w:val="single"/>
        </w:rPr>
      </w:pPr>
      <w:r>
        <w:rPr>
          <w:rFonts w:eastAsia="仿宋_GB2312"/>
          <w:sz w:val="32"/>
          <w:szCs w:val="32"/>
        </w:rPr>
        <w:t xml:space="preserve">项目部门 </w:t>
      </w:r>
      <w:r>
        <w:rPr>
          <w:rFonts w:eastAsia="仿宋_GB2312"/>
          <w:sz w:val="32"/>
          <w:szCs w:val="32"/>
          <w:u w:val="single"/>
        </w:rPr>
        <w:t xml:space="preserve"> </w:t>
      </w:r>
      <w:r>
        <w:rPr>
          <w:rFonts w:eastAsia="仿宋_GB2312"/>
          <w:kern w:val="10"/>
          <w:sz w:val="28"/>
          <w:szCs w:val="28"/>
          <w:u w:val="single"/>
        </w:rPr>
        <w:t>北京市人民代表大会常务委员会</w:t>
      </w:r>
      <w:r>
        <w:rPr>
          <w:rFonts w:hint="eastAsia" w:eastAsia="仿宋_GB2312"/>
          <w:kern w:val="10"/>
          <w:sz w:val="28"/>
          <w:szCs w:val="28"/>
          <w:u w:val="single"/>
        </w:rPr>
        <w:t>代表工作委员会</w:t>
      </w:r>
      <w:r>
        <w:rPr>
          <w:rFonts w:eastAsia="仿宋_GB2312"/>
          <w:kern w:val="10"/>
          <w:sz w:val="28"/>
          <w:szCs w:val="28"/>
          <w:u w:val="single"/>
        </w:rPr>
        <w:tab/>
      </w:r>
      <w:r>
        <w:rPr>
          <w:rFonts w:eastAsia="仿宋_GB2312"/>
          <w:kern w:val="10"/>
          <w:sz w:val="32"/>
          <w:szCs w:val="32"/>
          <w:u w:val="single"/>
        </w:rPr>
        <w:t xml:space="preserve"> </w:t>
      </w:r>
    </w:p>
    <w:p>
      <w:pPr>
        <w:tabs>
          <w:tab w:val="left" w:pos="4140"/>
        </w:tabs>
        <w:spacing w:line="900" w:lineRule="exact"/>
        <w:ind w:left="210" w:leftChars="100" w:firstLine="320" w:firstLineChars="100"/>
        <w:rPr>
          <w:rFonts w:eastAsia="仿宋_GB2312"/>
          <w:sz w:val="32"/>
          <w:szCs w:val="32"/>
          <w:u w:val="single"/>
        </w:rPr>
      </w:pPr>
      <w:r>
        <w:rPr>
          <w:rFonts w:eastAsia="仿宋_GB2312"/>
          <w:kern w:val="10"/>
          <w:sz w:val="32"/>
          <w:szCs w:val="32"/>
        </w:rPr>
        <w:t xml:space="preserve">项目名称  </w:t>
      </w:r>
      <w:r>
        <w:rPr>
          <w:rFonts w:eastAsia="仿宋_GB2312"/>
          <w:sz w:val="32"/>
          <w:szCs w:val="32"/>
          <w:u w:val="single"/>
        </w:rPr>
        <w:t xml:space="preserve">  </w:t>
      </w:r>
      <w:r>
        <w:rPr>
          <w:rFonts w:hint="eastAsia" w:eastAsia="仿宋_GB2312"/>
          <w:sz w:val="32"/>
          <w:szCs w:val="32"/>
          <w:u w:val="single"/>
        </w:rPr>
        <w:t xml:space="preserve">   市人大代表履职培训经费</w:t>
      </w:r>
      <w:r>
        <w:rPr>
          <w:rFonts w:eastAsia="仿宋_GB2312"/>
          <w:sz w:val="32"/>
          <w:szCs w:val="32"/>
          <w:u w:val="single"/>
        </w:rPr>
        <w:tab/>
      </w:r>
      <w:r>
        <w:rPr>
          <w:rFonts w:eastAsia="仿宋_GB2312"/>
          <w:sz w:val="32"/>
          <w:szCs w:val="32"/>
          <w:u w:val="single"/>
        </w:rPr>
        <w:tab/>
      </w:r>
      <w:r>
        <w:rPr>
          <w:rFonts w:eastAsia="仿宋_GB2312"/>
          <w:sz w:val="32"/>
          <w:szCs w:val="32"/>
          <w:u w:val="single"/>
        </w:rPr>
        <w:tab/>
      </w:r>
      <w:r>
        <w:rPr>
          <w:rFonts w:eastAsia="仿宋_GB2312"/>
          <w:sz w:val="32"/>
          <w:szCs w:val="32"/>
          <w:u w:val="single"/>
        </w:rPr>
        <w:tab/>
      </w:r>
      <w:r>
        <w:rPr>
          <w:rFonts w:eastAsia="仿宋_GB2312"/>
          <w:sz w:val="32"/>
          <w:szCs w:val="32"/>
          <w:u w:val="single"/>
        </w:rPr>
        <w:tab/>
      </w:r>
      <w:r>
        <w:rPr>
          <w:rFonts w:hint="eastAsia" w:eastAsia="仿宋_GB2312"/>
          <w:sz w:val="32"/>
          <w:szCs w:val="32"/>
          <w:u w:val="single"/>
        </w:rPr>
        <w:t xml:space="preserve">  </w:t>
      </w:r>
      <w:r>
        <w:rPr>
          <w:rFonts w:eastAsia="仿宋_GB2312"/>
          <w:sz w:val="32"/>
          <w:szCs w:val="32"/>
          <w:u w:val="single"/>
        </w:rPr>
        <w:t xml:space="preserve">  </w:t>
      </w:r>
      <w:r>
        <w:rPr>
          <w:rFonts w:hint="eastAsia" w:eastAsia="仿宋_GB2312"/>
          <w:sz w:val="32"/>
          <w:szCs w:val="32"/>
          <w:u w:val="single"/>
        </w:rPr>
        <w:t xml:space="preserve">  </w:t>
      </w:r>
      <w:r>
        <w:rPr>
          <w:rFonts w:eastAsia="仿宋_GB2312"/>
          <w:sz w:val="32"/>
          <w:szCs w:val="32"/>
          <w:u w:val="single"/>
        </w:rPr>
        <w:t xml:space="preserve">   </w:t>
      </w:r>
      <w:r>
        <w:rPr>
          <w:rFonts w:hint="eastAsia" w:eastAsia="仿宋_GB2312"/>
          <w:sz w:val="32"/>
          <w:szCs w:val="32"/>
          <w:u w:val="single"/>
        </w:rPr>
        <w:t xml:space="preserve">                 </w:t>
      </w:r>
      <w:r>
        <w:rPr>
          <w:rFonts w:eastAsia="仿宋_GB2312"/>
          <w:sz w:val="32"/>
          <w:szCs w:val="32"/>
          <w:u w:val="single"/>
        </w:rPr>
        <w:t xml:space="preserve">                    </w:t>
      </w:r>
    </w:p>
    <w:p>
      <w:pPr>
        <w:spacing w:before="156" w:beforeLines="50" w:line="340" w:lineRule="exact"/>
        <w:ind w:firstLine="567" w:firstLineChars="270"/>
        <w:jc w:val="left"/>
        <w:rPr>
          <w:rFonts w:eastAsia="仿宋_GB2312"/>
          <w:sz w:val="32"/>
          <w:szCs w:val="20"/>
        </w:rPr>
      </w:pPr>
      <w:r>
        <mc:AlternateContent>
          <mc:Choice Requires="wps">
            <w:drawing>
              <wp:anchor distT="0" distB="0" distL="114300" distR="114300" simplePos="0" relativeHeight="251660288" behindDoc="1" locked="0" layoutInCell="1" allowOverlap="1">
                <wp:simplePos x="0" y="0"/>
                <wp:positionH relativeFrom="column">
                  <wp:posOffset>1143000</wp:posOffset>
                </wp:positionH>
                <wp:positionV relativeFrom="paragraph">
                  <wp:posOffset>144780</wp:posOffset>
                </wp:positionV>
                <wp:extent cx="4229100" cy="495300"/>
                <wp:effectExtent l="4445" t="4445" r="14605" b="14605"/>
                <wp:wrapNone/>
                <wp:docPr id="3" name="文本框 4"/>
                <wp:cNvGraphicFramePr/>
                <a:graphic xmlns:a="http://schemas.openxmlformats.org/drawingml/2006/main">
                  <a:graphicData uri="http://schemas.microsoft.com/office/word/2010/wordprocessingShape">
                    <wps:wsp>
                      <wps:cNvSpPr txBox="1">
                        <a:spLocks noChangeArrowheads="1"/>
                      </wps:cNvSpPr>
                      <wps:spPr bwMode="auto">
                        <a:xfrm>
                          <a:off x="0" y="0"/>
                          <a:ext cx="4229100" cy="495300"/>
                        </a:xfrm>
                        <a:prstGeom prst="rect">
                          <a:avLst/>
                        </a:prstGeom>
                        <a:noFill/>
                        <a:ln w="9525">
                          <a:solidFill>
                            <a:srgbClr val="FFFFFF"/>
                          </a:solidFill>
                          <a:miter lim="800000"/>
                        </a:ln>
                        <a:effectLst/>
                      </wps:spPr>
                      <wps:txbx>
                        <w:txbxContent>
                          <w:p>
                            <w:r>
                              <w:rPr>
                                <w:rFonts w:hint="eastAsia" w:ascii="宋体" w:hAnsi="宋体"/>
                                <w:kern w:val="10"/>
                                <w:sz w:val="32"/>
                                <w:szCs w:val="32"/>
                                <w:u w:val="single"/>
                              </w:rPr>
                              <w:t xml:space="preserve">  </w:t>
                            </w:r>
                            <w:r>
                              <w:rPr>
                                <w:rFonts w:hint="eastAsia" w:ascii="仿宋_GB2312" w:hAnsi="仿宋_GB2312" w:eastAsia="仿宋_GB2312" w:cs="仿宋_GB2312"/>
                                <w:kern w:val="10"/>
                                <w:sz w:val="32"/>
                                <w:szCs w:val="32"/>
                                <w:u w:val="single"/>
                              </w:rPr>
                              <w:t>中逸会计师事务所有限公司</w:t>
                            </w:r>
                            <w:r>
                              <w:rPr>
                                <w:rFonts w:ascii="仿宋_GB2312" w:hAnsi="仿宋_GB2312" w:eastAsia="仿宋_GB2312" w:cs="仿宋_GB2312"/>
                                <w:kern w:val="10"/>
                                <w:sz w:val="32"/>
                                <w:szCs w:val="32"/>
                                <w:u w:val="single"/>
                              </w:rPr>
                              <w:tab/>
                            </w:r>
                            <w:r>
                              <w:rPr>
                                <w:rFonts w:ascii="仿宋_GB2312" w:hAnsi="仿宋_GB2312" w:eastAsia="仿宋_GB2312" w:cs="仿宋_GB2312"/>
                                <w:kern w:val="10"/>
                                <w:sz w:val="32"/>
                                <w:szCs w:val="32"/>
                                <w:u w:val="single"/>
                              </w:rPr>
                              <w:tab/>
                            </w:r>
                            <w:r>
                              <w:rPr>
                                <w:rFonts w:ascii="仿宋_GB2312" w:hAnsi="仿宋_GB2312" w:eastAsia="仿宋_GB2312" w:cs="仿宋_GB2312"/>
                                <w:kern w:val="10"/>
                                <w:sz w:val="32"/>
                                <w:szCs w:val="32"/>
                                <w:u w:val="single"/>
                              </w:rPr>
                              <w:tab/>
                            </w:r>
                            <w:r>
                              <w:rPr>
                                <w:rFonts w:ascii="仿宋_GB2312" w:hAnsi="仿宋_GB2312" w:eastAsia="仿宋_GB2312" w:cs="仿宋_GB2312"/>
                                <w:kern w:val="10"/>
                                <w:sz w:val="32"/>
                                <w:szCs w:val="32"/>
                                <w:u w:val="single"/>
                              </w:rPr>
                              <w:tab/>
                            </w:r>
                            <w:r>
                              <w:rPr>
                                <w:rFonts w:hint="eastAsia" w:ascii="仿宋_GB2312" w:hAnsi="仿宋_GB2312" w:eastAsia="仿宋_GB2312" w:cs="仿宋_GB2312"/>
                                <w:kern w:val="10"/>
                                <w:sz w:val="32"/>
                                <w:szCs w:val="32"/>
                                <w:u w:val="single"/>
                              </w:rPr>
                              <w:t xml:space="preserve">  </w:t>
                            </w:r>
                            <w:r>
                              <w:rPr>
                                <w:rFonts w:hint="eastAsia" w:ascii="宋体" w:hAnsi="宋体"/>
                                <w:kern w:val="10"/>
                                <w:sz w:val="32"/>
                                <w:szCs w:val="32"/>
                                <w:u w:val="single"/>
                              </w:rPr>
                              <w:t xml:space="preserve">         </w:t>
                            </w:r>
                          </w:p>
                        </w:txbxContent>
                      </wps:txbx>
                      <wps:bodyPr rot="0" vert="horz" wrap="square" lIns="91440" tIns="45720" rIns="91440" bIns="45720" anchor="t" anchorCtr="0" upright="1">
                        <a:noAutofit/>
                      </wps:bodyPr>
                    </wps:wsp>
                  </a:graphicData>
                </a:graphic>
              </wp:anchor>
            </w:drawing>
          </mc:Choice>
          <mc:Fallback>
            <w:pict>
              <v:shape id="文本框 4" o:spid="_x0000_s1026" o:spt="202" type="#_x0000_t202" style="position:absolute;left:0pt;margin-left:90pt;margin-top:11.4pt;height:39pt;width:333pt;z-index:-251656192;mso-width-relative:page;mso-height-relative:page;" filled="f" stroked="t" coordsize="21600,21600" o:gfxdata="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F5VtJjXAAAACgEAAA8AAAAAAAAAAQAgAAAA&#10;IgAAAGRycy9kb3ducmV2LnhtbFBLAQIUABQAAAAIAIdO4kCF1FBIRQIAAGwEAAAOAAAAAAAAAAEA&#10;IAAAACYBAABkcnMvZTJvRG9jLnhtbFBLBQYAAAAABgAGAFkBAADdBQAAAAA=&#10;">
                <v:fill on="f" focussize="0,0"/>
                <v:stroke color="#FFFFFF" miterlimit="8" joinstyle="miter"/>
                <v:imagedata o:title=""/>
                <o:lock v:ext="edit" aspectratio="f"/>
                <v:textbox>
                  <w:txbxContent>
                    <w:p>
                      <w:r>
                        <w:rPr>
                          <w:rFonts w:hint="eastAsia" w:ascii="宋体" w:hAnsi="宋体"/>
                          <w:kern w:val="10"/>
                          <w:sz w:val="32"/>
                          <w:szCs w:val="32"/>
                          <w:u w:val="single"/>
                        </w:rPr>
                        <w:t xml:space="preserve">  </w:t>
                      </w:r>
                      <w:r>
                        <w:rPr>
                          <w:rFonts w:hint="eastAsia" w:ascii="仿宋_GB2312" w:hAnsi="仿宋_GB2312" w:eastAsia="仿宋_GB2312" w:cs="仿宋_GB2312"/>
                          <w:kern w:val="10"/>
                          <w:sz w:val="32"/>
                          <w:szCs w:val="32"/>
                          <w:u w:val="single"/>
                        </w:rPr>
                        <w:t>中逸会计师事务所有限公司</w:t>
                      </w:r>
                      <w:r>
                        <w:rPr>
                          <w:rFonts w:ascii="仿宋_GB2312" w:hAnsi="仿宋_GB2312" w:eastAsia="仿宋_GB2312" w:cs="仿宋_GB2312"/>
                          <w:kern w:val="10"/>
                          <w:sz w:val="32"/>
                          <w:szCs w:val="32"/>
                          <w:u w:val="single"/>
                        </w:rPr>
                        <w:tab/>
                      </w:r>
                      <w:r>
                        <w:rPr>
                          <w:rFonts w:ascii="仿宋_GB2312" w:hAnsi="仿宋_GB2312" w:eastAsia="仿宋_GB2312" w:cs="仿宋_GB2312"/>
                          <w:kern w:val="10"/>
                          <w:sz w:val="32"/>
                          <w:szCs w:val="32"/>
                          <w:u w:val="single"/>
                        </w:rPr>
                        <w:tab/>
                      </w:r>
                      <w:r>
                        <w:rPr>
                          <w:rFonts w:ascii="仿宋_GB2312" w:hAnsi="仿宋_GB2312" w:eastAsia="仿宋_GB2312" w:cs="仿宋_GB2312"/>
                          <w:kern w:val="10"/>
                          <w:sz w:val="32"/>
                          <w:szCs w:val="32"/>
                          <w:u w:val="single"/>
                        </w:rPr>
                        <w:tab/>
                      </w:r>
                      <w:r>
                        <w:rPr>
                          <w:rFonts w:ascii="仿宋_GB2312" w:hAnsi="仿宋_GB2312" w:eastAsia="仿宋_GB2312" w:cs="仿宋_GB2312"/>
                          <w:kern w:val="10"/>
                          <w:sz w:val="32"/>
                          <w:szCs w:val="32"/>
                          <w:u w:val="single"/>
                        </w:rPr>
                        <w:tab/>
                      </w:r>
                      <w:r>
                        <w:rPr>
                          <w:rFonts w:hint="eastAsia" w:ascii="仿宋_GB2312" w:hAnsi="仿宋_GB2312" w:eastAsia="仿宋_GB2312" w:cs="仿宋_GB2312"/>
                          <w:kern w:val="10"/>
                          <w:sz w:val="32"/>
                          <w:szCs w:val="32"/>
                          <w:u w:val="single"/>
                        </w:rPr>
                        <w:t xml:space="preserve">  </w:t>
                      </w:r>
                      <w:r>
                        <w:rPr>
                          <w:rFonts w:hint="eastAsia" w:ascii="宋体" w:hAnsi="宋体"/>
                          <w:kern w:val="10"/>
                          <w:sz w:val="32"/>
                          <w:szCs w:val="32"/>
                          <w:u w:val="single"/>
                        </w:rPr>
                        <w:t xml:space="preserve">         </w:t>
                      </w:r>
                    </w:p>
                  </w:txbxContent>
                </v:textbox>
              </v:shape>
            </w:pict>
          </mc:Fallback>
        </mc:AlternateContent>
      </w:r>
      <w:r>
        <w:rPr>
          <w:rFonts w:eastAsia="仿宋_GB2312"/>
          <w:sz w:val="32"/>
          <w:szCs w:val="20"/>
        </w:rPr>
        <w:t>参与评价</w:t>
      </w:r>
    </w:p>
    <w:p>
      <w:pPr>
        <w:spacing w:line="340" w:lineRule="exact"/>
        <w:ind w:firstLine="566" w:firstLineChars="177"/>
        <w:jc w:val="left"/>
        <w:rPr>
          <w:rFonts w:eastAsia="仿宋_GB2312"/>
          <w:sz w:val="32"/>
          <w:szCs w:val="20"/>
        </w:rPr>
      </w:pPr>
      <w:r>
        <w:rPr>
          <w:rFonts w:eastAsia="仿宋_GB2312"/>
          <w:sz w:val="32"/>
          <w:szCs w:val="20"/>
        </w:rPr>
        <w:t>中介机构</w:t>
      </w:r>
    </w:p>
    <w:p>
      <w:pPr>
        <w:jc w:val="center"/>
        <w:rPr>
          <w:rFonts w:eastAsia="仿宋_GB2312"/>
          <w:sz w:val="36"/>
          <w:szCs w:val="20"/>
        </w:rPr>
      </w:pPr>
    </w:p>
    <w:p>
      <w:pPr>
        <w:jc w:val="center"/>
        <w:rPr>
          <w:rFonts w:eastAsia="仿宋_GB2312"/>
          <w:sz w:val="36"/>
          <w:szCs w:val="20"/>
        </w:rPr>
      </w:pPr>
    </w:p>
    <w:p>
      <w:pPr>
        <w:jc w:val="center"/>
        <w:rPr>
          <w:rFonts w:eastAsia="仿宋_GB2312"/>
          <w:sz w:val="36"/>
          <w:szCs w:val="20"/>
        </w:rPr>
      </w:pPr>
    </w:p>
    <w:p>
      <w:pPr>
        <w:jc w:val="center"/>
        <w:rPr>
          <w:rFonts w:eastAsia="仿宋_GB2312"/>
          <w:sz w:val="36"/>
          <w:szCs w:val="20"/>
        </w:rPr>
      </w:pPr>
    </w:p>
    <w:p>
      <w:pPr>
        <w:jc w:val="center"/>
        <w:rPr>
          <w:rFonts w:eastAsia="仿宋_GB2312"/>
          <w:sz w:val="32"/>
          <w:szCs w:val="32"/>
        </w:rPr>
      </w:pPr>
      <w:r>
        <w:rPr>
          <w:rFonts w:eastAsia="仿宋_GB2312"/>
          <w:sz w:val="32"/>
          <w:szCs w:val="32"/>
        </w:rPr>
        <w:t>中逸会计师事务所有限公司</w:t>
      </w:r>
    </w:p>
    <w:p>
      <w:pPr>
        <w:jc w:val="center"/>
        <w:rPr>
          <w:rFonts w:eastAsia="仿宋_GB2312"/>
          <w:sz w:val="32"/>
          <w:szCs w:val="32"/>
        </w:rPr>
      </w:pPr>
      <w:r>
        <w:rPr>
          <w:rFonts w:eastAsia="仿宋_GB2312"/>
          <w:sz w:val="32"/>
          <w:szCs w:val="32"/>
        </w:rPr>
        <w:t>二</w:t>
      </w:r>
      <w:r>
        <w:rPr>
          <w:rFonts w:eastAsia="微软雅黑"/>
          <w:sz w:val="32"/>
          <w:szCs w:val="32"/>
        </w:rPr>
        <w:t>〇</w:t>
      </w:r>
      <w:r>
        <w:rPr>
          <w:rFonts w:eastAsia="仿宋_GB2312"/>
          <w:sz w:val="32"/>
          <w:szCs w:val="32"/>
        </w:rPr>
        <w:t>二</w:t>
      </w:r>
      <w:r>
        <w:rPr>
          <w:rFonts w:hint="eastAsia" w:eastAsia="仿宋_GB2312"/>
          <w:sz w:val="32"/>
          <w:szCs w:val="32"/>
        </w:rPr>
        <w:t>四</w:t>
      </w:r>
      <w:r>
        <w:rPr>
          <w:rFonts w:eastAsia="仿宋_GB2312"/>
          <w:sz w:val="32"/>
          <w:szCs w:val="32"/>
        </w:rPr>
        <w:t>年五月</w:t>
      </w:r>
    </w:p>
    <w:p>
      <w:pPr>
        <w:jc w:val="center"/>
        <w:rPr>
          <w:rFonts w:eastAsia="仿宋_GB2312"/>
          <w:b/>
          <w:bCs/>
          <w:sz w:val="36"/>
          <w:szCs w:val="36"/>
        </w:rPr>
      </w:pPr>
    </w:p>
    <w:p>
      <w:bookmarkStart w:id="0" w:name="_Toc25623"/>
    </w:p>
    <w:p/>
    <w:p>
      <w:pPr>
        <w:jc w:val="left"/>
      </w:pPr>
    </w:p>
    <w:p/>
    <w:p>
      <w:pPr>
        <w:pStyle w:val="2"/>
        <w:rPr>
          <w:rFonts w:eastAsia="宋体"/>
        </w:rPr>
      </w:pPr>
    </w:p>
    <w:p>
      <w:pPr>
        <w:pStyle w:val="2"/>
        <w:rPr>
          <w:rFonts w:eastAsia="宋体"/>
        </w:rPr>
      </w:pPr>
    </w:p>
    <w:p>
      <w:pPr>
        <w:pStyle w:val="2"/>
        <w:rPr>
          <w:rFonts w:eastAsia="宋体"/>
        </w:rPr>
      </w:pPr>
    </w:p>
    <w:p/>
    <w:p>
      <w:r>
        <w:rPr>
          <w:rFonts w:hint="eastAsia"/>
        </w:rPr>
        <w:drawing>
          <wp:inline distT="0" distB="0" distL="114300" distR="114300">
            <wp:extent cx="5539105" cy="3317240"/>
            <wp:effectExtent l="0" t="0" r="15875" b="8890"/>
            <wp:docPr id="1" name="图片 1" descr="52c02afa8d19a10f2435b189ac563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52c02afa8d19a10f2435b189ac563bb"/>
                    <pic:cNvPicPr>
                      <a:picLocks noChangeAspect="1"/>
                    </pic:cNvPicPr>
                  </pic:nvPicPr>
                  <pic:blipFill>
                    <a:blip r:embed="rId6"/>
                    <a:srcRect t="33006" r="-326"/>
                    <a:stretch>
                      <a:fillRect/>
                    </a:stretch>
                  </pic:blipFill>
                  <pic:spPr>
                    <a:xfrm>
                      <a:off x="0" y="0"/>
                      <a:ext cx="5539105" cy="3317240"/>
                    </a:xfrm>
                    <a:prstGeom prst="rect">
                      <a:avLst/>
                    </a:prstGeom>
                  </pic:spPr>
                </pic:pic>
              </a:graphicData>
            </a:graphic>
          </wp:inline>
        </w:drawing>
      </w:r>
      <w:r>
        <w:br w:type="page"/>
      </w:r>
    </w:p>
    <w:p>
      <w:pPr>
        <w:spacing w:before="156" w:beforeLines="50" w:line="300" w:lineRule="auto"/>
        <w:jc w:val="center"/>
        <w:outlineLvl w:val="0"/>
        <w:rPr>
          <w:rFonts w:eastAsia="仿宋_GB2312"/>
          <w:b/>
          <w:sz w:val="32"/>
          <w:szCs w:val="32"/>
        </w:rPr>
      </w:pPr>
      <w:r>
        <w:rPr>
          <w:rFonts w:eastAsia="仿宋_GB2312"/>
          <w:b/>
          <w:sz w:val="32"/>
          <w:szCs w:val="32"/>
        </w:rPr>
        <w:t>北京市人民代表大会常务委员会</w:t>
      </w:r>
      <w:bookmarkEnd w:id="0"/>
    </w:p>
    <w:p>
      <w:pPr>
        <w:spacing w:before="156" w:beforeLines="50" w:line="300" w:lineRule="auto"/>
        <w:jc w:val="center"/>
        <w:outlineLvl w:val="0"/>
        <w:rPr>
          <w:rFonts w:eastAsia="仿宋_GB2312"/>
          <w:b/>
          <w:sz w:val="32"/>
          <w:szCs w:val="32"/>
        </w:rPr>
      </w:pPr>
      <w:bookmarkStart w:id="1" w:name="_Toc2430"/>
      <w:r>
        <w:rPr>
          <w:rFonts w:hint="eastAsia" w:eastAsia="仿宋_GB2312"/>
          <w:b/>
          <w:sz w:val="32"/>
          <w:szCs w:val="32"/>
        </w:rPr>
        <w:t>市人大代表履职培训经费</w:t>
      </w:r>
    </w:p>
    <w:p>
      <w:pPr>
        <w:spacing w:before="156" w:beforeLines="50" w:line="300" w:lineRule="auto"/>
        <w:jc w:val="center"/>
        <w:outlineLvl w:val="0"/>
        <w:rPr>
          <w:rFonts w:eastAsia="仿宋_GB2312"/>
          <w:b/>
          <w:sz w:val="32"/>
          <w:szCs w:val="32"/>
        </w:rPr>
      </w:pPr>
      <w:r>
        <w:rPr>
          <w:rFonts w:eastAsia="仿宋_GB2312"/>
          <w:b/>
          <w:sz w:val="32"/>
          <w:szCs w:val="32"/>
        </w:rPr>
        <w:t>项目绩效评价结论</w:t>
      </w:r>
      <w:bookmarkEnd w:id="1"/>
    </w:p>
    <w:p>
      <w:pPr>
        <w:spacing w:before="156" w:beforeLines="50" w:line="300" w:lineRule="auto"/>
        <w:jc w:val="center"/>
        <w:rPr>
          <w:rFonts w:eastAsia="仿宋_GB2312"/>
          <w:b/>
          <w:sz w:val="32"/>
          <w:szCs w:val="32"/>
        </w:rPr>
      </w:pPr>
    </w:p>
    <w:p>
      <w:pPr>
        <w:spacing w:before="156" w:beforeLines="50" w:line="360" w:lineRule="auto"/>
        <w:ind w:firstLine="560" w:firstLineChars="200"/>
        <w:jc w:val="left"/>
        <w:rPr>
          <w:rFonts w:eastAsia="仿宋_GB2312"/>
          <w:bCs/>
          <w:sz w:val="28"/>
          <w:szCs w:val="28"/>
        </w:rPr>
      </w:pPr>
      <w:r>
        <w:rPr>
          <w:rFonts w:eastAsia="仿宋_GB2312"/>
          <w:bCs/>
          <w:sz w:val="28"/>
          <w:szCs w:val="28"/>
        </w:rPr>
        <w:t>北京市人民代表大会常务委员会</w:t>
      </w:r>
      <w:r>
        <w:rPr>
          <w:rFonts w:hint="eastAsia" w:eastAsia="仿宋_GB2312"/>
          <w:bCs/>
          <w:sz w:val="28"/>
          <w:szCs w:val="28"/>
        </w:rPr>
        <w:t>2023年</w:t>
      </w:r>
      <w:r>
        <w:rPr>
          <w:rFonts w:eastAsia="仿宋_GB2312"/>
          <w:bCs/>
          <w:sz w:val="28"/>
          <w:szCs w:val="28"/>
        </w:rPr>
        <w:t>度</w:t>
      </w:r>
      <w:r>
        <w:rPr>
          <w:rFonts w:hint="eastAsia" w:eastAsia="仿宋_GB2312"/>
          <w:bCs/>
          <w:sz w:val="28"/>
          <w:szCs w:val="28"/>
        </w:rPr>
        <w:t>市人大代表履职培训经费</w:t>
      </w:r>
      <w:r>
        <w:rPr>
          <w:rFonts w:eastAsia="仿宋_GB2312"/>
          <w:bCs/>
          <w:sz w:val="28"/>
          <w:szCs w:val="28"/>
        </w:rPr>
        <w:t>项目绩效评价综合得分</w:t>
      </w:r>
      <w:r>
        <w:rPr>
          <w:rFonts w:hint="eastAsia" w:eastAsia="仿宋_GB2312"/>
          <w:bCs/>
          <w:sz w:val="28"/>
          <w:szCs w:val="28"/>
        </w:rPr>
        <w:t>91.16</w:t>
      </w:r>
      <w:r>
        <w:rPr>
          <w:rFonts w:eastAsia="仿宋_GB2312"/>
          <w:bCs/>
          <w:sz w:val="28"/>
          <w:szCs w:val="28"/>
        </w:rPr>
        <w:t>分，其中，项目</w:t>
      </w:r>
      <w:r>
        <w:rPr>
          <w:rFonts w:eastAsia="仿宋_GB2312"/>
          <w:bCs/>
          <w:kern w:val="44"/>
          <w:sz w:val="28"/>
          <w:szCs w:val="28"/>
        </w:rPr>
        <w:t>决策</w:t>
      </w:r>
      <w:r>
        <w:rPr>
          <w:rFonts w:hint="eastAsia" w:eastAsia="仿宋_GB2312"/>
          <w:bCs/>
          <w:sz w:val="28"/>
          <w:szCs w:val="28"/>
        </w:rPr>
        <w:t>9.26</w:t>
      </w:r>
      <w:r>
        <w:rPr>
          <w:rFonts w:eastAsia="仿宋_GB2312"/>
          <w:bCs/>
          <w:kern w:val="44"/>
          <w:sz w:val="28"/>
          <w:szCs w:val="28"/>
        </w:rPr>
        <w:t>分，</w:t>
      </w:r>
      <w:r>
        <w:rPr>
          <w:rFonts w:eastAsia="仿宋_GB2312"/>
          <w:bCs/>
          <w:sz w:val="28"/>
          <w:szCs w:val="28"/>
        </w:rPr>
        <w:t>项目</w:t>
      </w:r>
      <w:r>
        <w:rPr>
          <w:rFonts w:eastAsia="仿宋_GB2312"/>
          <w:bCs/>
          <w:kern w:val="44"/>
          <w:sz w:val="28"/>
          <w:szCs w:val="28"/>
        </w:rPr>
        <w:t>过程</w:t>
      </w:r>
      <w:r>
        <w:rPr>
          <w:rFonts w:hint="eastAsia" w:eastAsia="仿宋_GB2312"/>
          <w:bCs/>
          <w:sz w:val="28"/>
          <w:szCs w:val="28"/>
        </w:rPr>
        <w:t>19.10</w:t>
      </w:r>
      <w:r>
        <w:rPr>
          <w:rFonts w:eastAsia="仿宋_GB2312"/>
          <w:bCs/>
          <w:kern w:val="44"/>
          <w:sz w:val="28"/>
          <w:szCs w:val="28"/>
        </w:rPr>
        <w:t>分，</w:t>
      </w:r>
      <w:r>
        <w:rPr>
          <w:rFonts w:eastAsia="仿宋_GB2312"/>
          <w:bCs/>
          <w:sz w:val="28"/>
          <w:szCs w:val="28"/>
        </w:rPr>
        <w:t>项目</w:t>
      </w:r>
      <w:r>
        <w:rPr>
          <w:rFonts w:eastAsia="仿宋_GB2312"/>
          <w:bCs/>
          <w:kern w:val="44"/>
          <w:sz w:val="28"/>
          <w:szCs w:val="28"/>
        </w:rPr>
        <w:t>产出</w:t>
      </w:r>
      <w:r>
        <w:rPr>
          <w:rFonts w:hint="eastAsia" w:eastAsia="仿宋_GB2312"/>
          <w:bCs/>
          <w:sz w:val="28"/>
          <w:szCs w:val="28"/>
        </w:rPr>
        <w:t>36.60</w:t>
      </w:r>
      <w:r>
        <w:rPr>
          <w:rFonts w:eastAsia="仿宋_GB2312"/>
          <w:bCs/>
          <w:kern w:val="44"/>
          <w:sz w:val="28"/>
          <w:szCs w:val="28"/>
        </w:rPr>
        <w:t>分，项目效益</w:t>
      </w:r>
      <w:r>
        <w:rPr>
          <w:rFonts w:hint="eastAsia" w:eastAsia="仿宋_GB2312"/>
          <w:bCs/>
          <w:kern w:val="44"/>
          <w:sz w:val="28"/>
          <w:szCs w:val="28"/>
        </w:rPr>
        <w:t>26.20</w:t>
      </w:r>
      <w:r>
        <w:rPr>
          <w:rFonts w:eastAsia="仿宋_GB2312"/>
          <w:bCs/>
          <w:kern w:val="44"/>
          <w:sz w:val="28"/>
          <w:szCs w:val="28"/>
        </w:rPr>
        <w:t>分</w:t>
      </w:r>
      <w:r>
        <w:rPr>
          <w:rFonts w:eastAsia="仿宋_GB2312"/>
          <w:bCs/>
          <w:sz w:val="28"/>
          <w:szCs w:val="28"/>
        </w:rPr>
        <w:t>，综合绩效评定结论为“优秀”，具体情况详见下表。</w:t>
      </w:r>
    </w:p>
    <w:p>
      <w:pPr>
        <w:spacing w:before="156" w:beforeLines="50" w:after="120" w:line="360" w:lineRule="auto"/>
        <w:jc w:val="center"/>
        <w:outlineLvl w:val="0"/>
        <w:rPr>
          <w:rFonts w:eastAsia="仿宋_GB2312"/>
          <w:b/>
          <w:sz w:val="28"/>
          <w:szCs w:val="28"/>
        </w:rPr>
      </w:pPr>
      <w:bookmarkStart w:id="2" w:name="_Toc20166"/>
      <w:r>
        <w:rPr>
          <w:rFonts w:hint="eastAsia" w:eastAsia="仿宋_GB2312"/>
          <w:b/>
          <w:sz w:val="28"/>
          <w:szCs w:val="28"/>
        </w:rPr>
        <w:t>2023年</w:t>
      </w:r>
      <w:r>
        <w:rPr>
          <w:rFonts w:eastAsia="仿宋_GB2312"/>
          <w:b/>
          <w:sz w:val="28"/>
          <w:szCs w:val="28"/>
        </w:rPr>
        <w:t>度</w:t>
      </w:r>
      <w:bookmarkEnd w:id="2"/>
      <w:r>
        <w:rPr>
          <w:rFonts w:hint="eastAsia" w:eastAsia="仿宋_GB2312"/>
          <w:b/>
          <w:sz w:val="28"/>
          <w:szCs w:val="28"/>
        </w:rPr>
        <w:t>市人大代表履职培训经费</w:t>
      </w:r>
    </w:p>
    <w:p>
      <w:pPr>
        <w:spacing w:before="156" w:beforeLines="50" w:after="120" w:line="360" w:lineRule="auto"/>
        <w:jc w:val="center"/>
        <w:outlineLvl w:val="0"/>
        <w:rPr>
          <w:rFonts w:eastAsia="仿宋_GB2312"/>
          <w:b/>
          <w:sz w:val="28"/>
          <w:szCs w:val="28"/>
        </w:rPr>
      </w:pPr>
      <w:bookmarkStart w:id="3" w:name="_Toc4769"/>
      <w:r>
        <w:rPr>
          <w:rFonts w:hint="eastAsia" w:eastAsia="仿宋_GB2312"/>
          <w:b/>
          <w:sz w:val="28"/>
          <w:szCs w:val="28"/>
        </w:rPr>
        <w:t>项目</w:t>
      </w:r>
      <w:r>
        <w:rPr>
          <w:rFonts w:eastAsia="仿宋_GB2312"/>
          <w:b/>
          <w:sz w:val="28"/>
          <w:szCs w:val="28"/>
        </w:rPr>
        <w:t>绩效评价结论一览表</w:t>
      </w:r>
      <w:bookmarkEnd w:id="3"/>
    </w:p>
    <w:tbl>
      <w:tblPr>
        <w:tblStyle w:val="10"/>
        <w:tblW w:w="0" w:type="auto"/>
        <w:jc w:val="cente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Layout w:type="fixed"/>
        <w:tblCellMar>
          <w:top w:w="0" w:type="dxa"/>
          <w:left w:w="57" w:type="dxa"/>
          <w:bottom w:w="0" w:type="dxa"/>
          <w:right w:w="57" w:type="dxa"/>
        </w:tblCellMar>
      </w:tblPr>
      <w:tblGrid>
        <w:gridCol w:w="2250"/>
        <w:gridCol w:w="3240"/>
        <w:gridCol w:w="2995"/>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CellMar>
            <w:top w:w="0" w:type="dxa"/>
            <w:left w:w="57" w:type="dxa"/>
            <w:bottom w:w="0" w:type="dxa"/>
            <w:right w:w="57" w:type="dxa"/>
          </w:tblCellMar>
        </w:tblPrEx>
        <w:trPr>
          <w:cantSplit/>
          <w:trHeight w:val="950" w:hRule="atLeast"/>
          <w:jc w:val="center"/>
        </w:trPr>
        <w:tc>
          <w:tcPr>
            <w:tcW w:w="2250" w:type="dxa"/>
            <w:tcBorders>
              <w:bottom w:val="single" w:color="FFFFFF" w:sz="6" w:space="0"/>
              <w:right w:val="single" w:color="FFFFFF" w:sz="6" w:space="0"/>
            </w:tcBorders>
            <w:shd w:val="clear" w:color="auto" w:fill="C0C0C0"/>
            <w:vAlign w:val="center"/>
          </w:tcPr>
          <w:p>
            <w:pPr>
              <w:adjustRightInd w:val="0"/>
              <w:snapToGrid w:val="0"/>
              <w:spacing w:before="156" w:beforeLines="50" w:after="60" w:line="360" w:lineRule="auto"/>
              <w:jc w:val="center"/>
              <w:rPr>
                <w:rFonts w:eastAsia="仿宋_GB2312"/>
                <w:b/>
                <w:sz w:val="28"/>
                <w:szCs w:val="28"/>
              </w:rPr>
            </w:pPr>
            <w:r>
              <w:rPr>
                <w:rFonts w:eastAsia="仿宋_GB2312"/>
                <w:b/>
                <w:sz w:val="28"/>
                <w:szCs w:val="28"/>
              </w:rPr>
              <w:t>评价内容</w:t>
            </w:r>
          </w:p>
        </w:tc>
        <w:tc>
          <w:tcPr>
            <w:tcW w:w="3240" w:type="dxa"/>
            <w:tcBorders>
              <w:left w:val="single" w:color="FFFFFF" w:sz="6" w:space="0"/>
              <w:bottom w:val="single" w:color="FFFFFF" w:sz="6" w:space="0"/>
              <w:right w:val="single" w:color="FFFFFF" w:sz="6" w:space="0"/>
            </w:tcBorders>
            <w:shd w:val="clear" w:color="auto" w:fill="C0C0C0"/>
            <w:vAlign w:val="center"/>
          </w:tcPr>
          <w:p>
            <w:pPr>
              <w:adjustRightInd w:val="0"/>
              <w:snapToGrid w:val="0"/>
              <w:spacing w:before="156" w:beforeLines="50" w:after="60" w:line="360" w:lineRule="auto"/>
              <w:jc w:val="center"/>
              <w:rPr>
                <w:rFonts w:eastAsia="仿宋_GB2312"/>
                <w:b/>
                <w:sz w:val="28"/>
                <w:szCs w:val="28"/>
              </w:rPr>
            </w:pPr>
            <w:r>
              <w:rPr>
                <w:rFonts w:eastAsia="仿宋_GB2312"/>
                <w:b/>
                <w:sz w:val="28"/>
                <w:szCs w:val="28"/>
              </w:rPr>
              <w:t>分值</w:t>
            </w:r>
          </w:p>
        </w:tc>
        <w:tc>
          <w:tcPr>
            <w:tcW w:w="2995" w:type="dxa"/>
            <w:tcBorders>
              <w:left w:val="single" w:color="FFFFFF" w:sz="6" w:space="0"/>
              <w:bottom w:val="single" w:color="FFFFFF" w:sz="6" w:space="0"/>
            </w:tcBorders>
            <w:shd w:val="clear" w:color="auto" w:fill="C0C0C0"/>
            <w:vAlign w:val="center"/>
          </w:tcPr>
          <w:p>
            <w:pPr>
              <w:adjustRightInd w:val="0"/>
              <w:snapToGrid w:val="0"/>
              <w:spacing w:before="156" w:beforeLines="50" w:after="60" w:line="360" w:lineRule="auto"/>
              <w:jc w:val="center"/>
              <w:rPr>
                <w:rFonts w:eastAsia="仿宋_GB2312"/>
                <w:b/>
                <w:sz w:val="28"/>
                <w:szCs w:val="28"/>
              </w:rPr>
            </w:pPr>
            <w:r>
              <w:rPr>
                <w:rFonts w:eastAsia="仿宋_GB2312"/>
                <w:b/>
                <w:sz w:val="28"/>
                <w:szCs w:val="28"/>
              </w:rPr>
              <w:t>评价得分</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57" w:type="dxa"/>
            <w:bottom w:w="0" w:type="dxa"/>
            <w:right w:w="57" w:type="dxa"/>
          </w:tblCellMar>
        </w:tblPrEx>
        <w:trPr>
          <w:cantSplit/>
          <w:trHeight w:val="532" w:hRule="atLeast"/>
          <w:jc w:val="center"/>
        </w:trPr>
        <w:tc>
          <w:tcPr>
            <w:tcW w:w="2250" w:type="dxa"/>
            <w:tcBorders>
              <w:top w:val="single" w:color="FFFFFF" w:sz="6" w:space="0"/>
              <w:bottom w:val="single" w:color="FFFFFF" w:sz="6" w:space="0"/>
              <w:right w:val="single" w:color="FFFFFF" w:sz="6" w:space="0"/>
            </w:tcBorders>
            <w:shd w:val="clear" w:color="auto" w:fill="C0C0C0"/>
            <w:vAlign w:val="center"/>
          </w:tcPr>
          <w:p>
            <w:pPr>
              <w:adjustRightInd w:val="0"/>
              <w:snapToGrid w:val="0"/>
              <w:spacing w:before="156" w:beforeLines="50" w:after="60" w:line="360" w:lineRule="auto"/>
              <w:jc w:val="center"/>
              <w:rPr>
                <w:rFonts w:eastAsia="仿宋_GB2312"/>
                <w:b/>
                <w:sz w:val="28"/>
                <w:szCs w:val="28"/>
              </w:rPr>
            </w:pPr>
            <w:r>
              <w:rPr>
                <w:rFonts w:eastAsia="仿宋_GB2312"/>
                <w:b/>
                <w:sz w:val="28"/>
                <w:szCs w:val="28"/>
              </w:rPr>
              <w:t>项目决策</w:t>
            </w:r>
          </w:p>
        </w:tc>
        <w:tc>
          <w:tcPr>
            <w:tcW w:w="3240" w:type="dxa"/>
            <w:tcBorders>
              <w:top w:val="single" w:color="FFFFFF" w:sz="6" w:space="0"/>
              <w:left w:val="single" w:color="FFFFFF" w:sz="6" w:space="0"/>
              <w:bottom w:val="single" w:color="FFFFFF" w:sz="6" w:space="0"/>
              <w:right w:val="single" w:color="FFFFFF" w:sz="6" w:space="0"/>
            </w:tcBorders>
            <w:shd w:val="clear" w:color="auto" w:fill="C0C0C0"/>
            <w:vAlign w:val="center"/>
          </w:tcPr>
          <w:p>
            <w:pPr>
              <w:adjustRightInd w:val="0"/>
              <w:snapToGrid w:val="0"/>
              <w:spacing w:before="156" w:beforeLines="50" w:after="60" w:line="360" w:lineRule="auto"/>
              <w:jc w:val="center"/>
              <w:rPr>
                <w:rFonts w:eastAsia="仿宋_GB2312"/>
                <w:b/>
                <w:sz w:val="28"/>
                <w:szCs w:val="28"/>
              </w:rPr>
            </w:pPr>
            <w:r>
              <w:rPr>
                <w:rFonts w:eastAsia="仿宋_GB2312"/>
                <w:b/>
                <w:sz w:val="28"/>
                <w:szCs w:val="28"/>
              </w:rPr>
              <w:t>10</w:t>
            </w:r>
          </w:p>
        </w:tc>
        <w:tc>
          <w:tcPr>
            <w:tcW w:w="2995" w:type="dxa"/>
            <w:tcBorders>
              <w:top w:val="single" w:color="FFFFFF" w:sz="6" w:space="0"/>
              <w:left w:val="single" w:color="FFFFFF" w:sz="6" w:space="0"/>
              <w:bottom w:val="single" w:color="FFFFFF" w:sz="6" w:space="0"/>
            </w:tcBorders>
            <w:shd w:val="clear" w:color="auto" w:fill="C0C0C0"/>
            <w:vAlign w:val="center"/>
          </w:tcPr>
          <w:p>
            <w:pPr>
              <w:adjustRightInd w:val="0"/>
              <w:snapToGrid w:val="0"/>
              <w:spacing w:before="156" w:beforeLines="50" w:after="60" w:line="360" w:lineRule="auto"/>
              <w:jc w:val="center"/>
              <w:rPr>
                <w:rFonts w:eastAsia="仿宋_GB2312"/>
                <w:b/>
                <w:sz w:val="28"/>
                <w:szCs w:val="28"/>
              </w:rPr>
            </w:pPr>
            <w:r>
              <w:rPr>
                <w:rFonts w:hint="eastAsia" w:eastAsia="仿宋_GB2312"/>
                <w:b/>
                <w:sz w:val="28"/>
                <w:szCs w:val="28"/>
              </w:rPr>
              <w:t>9.26</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57" w:type="dxa"/>
            <w:bottom w:w="0" w:type="dxa"/>
            <w:right w:w="57" w:type="dxa"/>
          </w:tblCellMar>
        </w:tblPrEx>
        <w:trPr>
          <w:cantSplit/>
          <w:trHeight w:val="532" w:hRule="atLeast"/>
          <w:jc w:val="center"/>
        </w:trPr>
        <w:tc>
          <w:tcPr>
            <w:tcW w:w="2250" w:type="dxa"/>
            <w:tcBorders>
              <w:top w:val="single" w:color="FFFFFF" w:sz="6" w:space="0"/>
              <w:bottom w:val="single" w:color="FFFFFF" w:sz="6" w:space="0"/>
              <w:right w:val="single" w:color="FFFFFF" w:sz="6" w:space="0"/>
            </w:tcBorders>
            <w:shd w:val="clear" w:color="auto" w:fill="C0C0C0"/>
            <w:vAlign w:val="center"/>
          </w:tcPr>
          <w:p>
            <w:pPr>
              <w:adjustRightInd w:val="0"/>
              <w:snapToGrid w:val="0"/>
              <w:spacing w:before="156" w:beforeLines="50" w:after="60" w:line="360" w:lineRule="auto"/>
              <w:jc w:val="center"/>
              <w:rPr>
                <w:rFonts w:eastAsia="仿宋_GB2312"/>
                <w:b/>
                <w:sz w:val="28"/>
                <w:szCs w:val="28"/>
              </w:rPr>
            </w:pPr>
            <w:r>
              <w:rPr>
                <w:rFonts w:eastAsia="仿宋_GB2312"/>
                <w:b/>
                <w:sz w:val="28"/>
                <w:szCs w:val="28"/>
              </w:rPr>
              <w:t>项目过程</w:t>
            </w:r>
          </w:p>
        </w:tc>
        <w:tc>
          <w:tcPr>
            <w:tcW w:w="3240" w:type="dxa"/>
            <w:tcBorders>
              <w:top w:val="single" w:color="FFFFFF" w:sz="6" w:space="0"/>
              <w:left w:val="single" w:color="FFFFFF" w:sz="6" w:space="0"/>
              <w:bottom w:val="single" w:color="FFFFFF" w:sz="6" w:space="0"/>
              <w:right w:val="single" w:color="FFFFFF" w:sz="6" w:space="0"/>
            </w:tcBorders>
            <w:shd w:val="clear" w:color="auto" w:fill="C0C0C0"/>
            <w:vAlign w:val="center"/>
          </w:tcPr>
          <w:p>
            <w:pPr>
              <w:adjustRightInd w:val="0"/>
              <w:snapToGrid w:val="0"/>
              <w:spacing w:before="156" w:beforeLines="50" w:line="360" w:lineRule="auto"/>
              <w:jc w:val="center"/>
              <w:rPr>
                <w:rFonts w:eastAsia="仿宋_GB2312"/>
                <w:b/>
                <w:sz w:val="28"/>
                <w:szCs w:val="28"/>
              </w:rPr>
            </w:pPr>
            <w:r>
              <w:rPr>
                <w:rFonts w:eastAsia="仿宋_GB2312"/>
                <w:b/>
                <w:sz w:val="28"/>
                <w:szCs w:val="28"/>
              </w:rPr>
              <w:t>20</w:t>
            </w:r>
          </w:p>
        </w:tc>
        <w:tc>
          <w:tcPr>
            <w:tcW w:w="2995" w:type="dxa"/>
            <w:tcBorders>
              <w:top w:val="single" w:color="FFFFFF" w:sz="6" w:space="0"/>
              <w:left w:val="single" w:color="FFFFFF" w:sz="6" w:space="0"/>
              <w:bottom w:val="single" w:color="FFFFFF" w:sz="6" w:space="0"/>
            </w:tcBorders>
            <w:shd w:val="clear" w:color="auto" w:fill="C0C0C0"/>
            <w:vAlign w:val="center"/>
          </w:tcPr>
          <w:p>
            <w:pPr>
              <w:adjustRightInd w:val="0"/>
              <w:snapToGrid w:val="0"/>
              <w:spacing w:before="156" w:beforeLines="50" w:line="360" w:lineRule="auto"/>
              <w:jc w:val="center"/>
              <w:rPr>
                <w:rFonts w:eastAsia="仿宋_GB2312"/>
                <w:b/>
                <w:sz w:val="28"/>
                <w:szCs w:val="28"/>
              </w:rPr>
            </w:pPr>
            <w:r>
              <w:rPr>
                <w:rFonts w:hint="eastAsia" w:eastAsia="仿宋_GB2312"/>
                <w:b/>
                <w:sz w:val="28"/>
                <w:szCs w:val="28"/>
              </w:rPr>
              <w:t>19.10</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57" w:type="dxa"/>
            <w:bottom w:w="0" w:type="dxa"/>
            <w:right w:w="57" w:type="dxa"/>
          </w:tblCellMar>
        </w:tblPrEx>
        <w:trPr>
          <w:cantSplit/>
          <w:trHeight w:val="532" w:hRule="atLeast"/>
          <w:jc w:val="center"/>
        </w:trPr>
        <w:tc>
          <w:tcPr>
            <w:tcW w:w="2250" w:type="dxa"/>
            <w:tcBorders>
              <w:top w:val="single" w:color="FFFFFF" w:sz="6" w:space="0"/>
              <w:bottom w:val="single" w:color="FFFFFF" w:sz="4" w:space="0"/>
              <w:right w:val="single" w:color="FFFFFF" w:sz="6" w:space="0"/>
            </w:tcBorders>
            <w:shd w:val="clear" w:color="auto" w:fill="C0C0C0"/>
            <w:vAlign w:val="center"/>
          </w:tcPr>
          <w:p>
            <w:pPr>
              <w:adjustRightInd w:val="0"/>
              <w:snapToGrid w:val="0"/>
              <w:spacing w:before="156" w:beforeLines="50" w:after="60" w:line="360" w:lineRule="auto"/>
              <w:jc w:val="center"/>
              <w:rPr>
                <w:rFonts w:eastAsia="仿宋_GB2312"/>
                <w:b/>
                <w:sz w:val="28"/>
                <w:szCs w:val="28"/>
              </w:rPr>
            </w:pPr>
            <w:r>
              <w:rPr>
                <w:rFonts w:eastAsia="仿宋_GB2312"/>
                <w:b/>
                <w:sz w:val="28"/>
                <w:szCs w:val="28"/>
              </w:rPr>
              <w:t>项目产出</w:t>
            </w:r>
          </w:p>
        </w:tc>
        <w:tc>
          <w:tcPr>
            <w:tcW w:w="3240" w:type="dxa"/>
            <w:tcBorders>
              <w:top w:val="single" w:color="FFFFFF" w:sz="6" w:space="0"/>
              <w:left w:val="single" w:color="FFFFFF" w:sz="6" w:space="0"/>
              <w:bottom w:val="single" w:color="FFFFFF" w:sz="4" w:space="0"/>
              <w:right w:val="single" w:color="FFFFFF" w:sz="4" w:space="0"/>
            </w:tcBorders>
            <w:shd w:val="clear" w:color="auto" w:fill="C0C0C0"/>
            <w:vAlign w:val="center"/>
          </w:tcPr>
          <w:p>
            <w:pPr>
              <w:adjustRightInd w:val="0"/>
              <w:snapToGrid w:val="0"/>
              <w:spacing w:before="156" w:beforeLines="50" w:line="360" w:lineRule="auto"/>
              <w:jc w:val="center"/>
              <w:rPr>
                <w:rFonts w:eastAsia="仿宋_GB2312"/>
                <w:b/>
                <w:sz w:val="28"/>
                <w:szCs w:val="28"/>
              </w:rPr>
            </w:pPr>
            <w:r>
              <w:rPr>
                <w:rFonts w:eastAsia="仿宋_GB2312"/>
                <w:b/>
                <w:sz w:val="28"/>
                <w:szCs w:val="28"/>
              </w:rPr>
              <w:t>40</w:t>
            </w:r>
          </w:p>
        </w:tc>
        <w:tc>
          <w:tcPr>
            <w:tcW w:w="2995" w:type="dxa"/>
            <w:tcBorders>
              <w:top w:val="single" w:color="FFFFFF" w:sz="6" w:space="0"/>
              <w:left w:val="single" w:color="FFFFFF" w:sz="4" w:space="0"/>
              <w:bottom w:val="single" w:color="FFFFFF" w:sz="4" w:space="0"/>
            </w:tcBorders>
            <w:shd w:val="clear" w:color="auto" w:fill="C0C0C0"/>
            <w:vAlign w:val="center"/>
          </w:tcPr>
          <w:p>
            <w:pPr>
              <w:adjustRightInd w:val="0"/>
              <w:snapToGrid w:val="0"/>
              <w:spacing w:before="156" w:beforeLines="50" w:line="360" w:lineRule="auto"/>
              <w:jc w:val="center"/>
              <w:rPr>
                <w:rFonts w:eastAsia="仿宋_GB2312"/>
                <w:b/>
                <w:sz w:val="28"/>
                <w:szCs w:val="28"/>
              </w:rPr>
            </w:pPr>
            <w:r>
              <w:rPr>
                <w:rFonts w:hint="eastAsia" w:eastAsia="仿宋_GB2312"/>
                <w:b/>
                <w:sz w:val="28"/>
                <w:szCs w:val="28"/>
              </w:rPr>
              <w:t>36.60</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CellMar>
            <w:top w:w="0" w:type="dxa"/>
            <w:left w:w="57" w:type="dxa"/>
            <w:bottom w:w="0" w:type="dxa"/>
            <w:right w:w="57" w:type="dxa"/>
          </w:tblCellMar>
        </w:tblPrEx>
        <w:trPr>
          <w:cantSplit/>
          <w:trHeight w:val="532" w:hRule="atLeast"/>
          <w:jc w:val="center"/>
        </w:trPr>
        <w:tc>
          <w:tcPr>
            <w:tcW w:w="2250" w:type="dxa"/>
            <w:tcBorders>
              <w:top w:val="single" w:color="FFFFFF" w:sz="6" w:space="0"/>
              <w:bottom w:val="single" w:color="FFFFFF" w:sz="4" w:space="0"/>
              <w:right w:val="single" w:color="FFFFFF" w:sz="6" w:space="0"/>
            </w:tcBorders>
            <w:shd w:val="clear" w:color="auto" w:fill="C0C0C0"/>
            <w:vAlign w:val="center"/>
          </w:tcPr>
          <w:p>
            <w:pPr>
              <w:adjustRightInd w:val="0"/>
              <w:snapToGrid w:val="0"/>
              <w:spacing w:before="156" w:beforeLines="50" w:after="60" w:line="360" w:lineRule="auto"/>
              <w:jc w:val="center"/>
              <w:rPr>
                <w:rFonts w:eastAsia="仿宋_GB2312"/>
                <w:b/>
                <w:sz w:val="28"/>
                <w:szCs w:val="28"/>
              </w:rPr>
            </w:pPr>
            <w:r>
              <w:rPr>
                <w:rFonts w:eastAsia="仿宋_GB2312"/>
                <w:b/>
                <w:sz w:val="28"/>
                <w:szCs w:val="28"/>
              </w:rPr>
              <w:t>项目效益</w:t>
            </w:r>
          </w:p>
        </w:tc>
        <w:tc>
          <w:tcPr>
            <w:tcW w:w="3240" w:type="dxa"/>
            <w:tcBorders>
              <w:top w:val="single" w:color="FFFFFF" w:sz="6" w:space="0"/>
              <w:left w:val="single" w:color="FFFFFF" w:sz="6" w:space="0"/>
              <w:bottom w:val="single" w:color="FFFFFF" w:sz="4" w:space="0"/>
              <w:right w:val="single" w:color="FFFFFF" w:sz="4" w:space="0"/>
            </w:tcBorders>
            <w:shd w:val="clear" w:color="auto" w:fill="C0C0C0"/>
            <w:vAlign w:val="center"/>
          </w:tcPr>
          <w:p>
            <w:pPr>
              <w:adjustRightInd w:val="0"/>
              <w:snapToGrid w:val="0"/>
              <w:spacing w:before="156" w:beforeLines="50" w:line="360" w:lineRule="auto"/>
              <w:jc w:val="center"/>
              <w:rPr>
                <w:rFonts w:eastAsia="仿宋_GB2312"/>
                <w:b/>
                <w:sz w:val="28"/>
                <w:szCs w:val="28"/>
              </w:rPr>
            </w:pPr>
            <w:r>
              <w:rPr>
                <w:rFonts w:eastAsia="仿宋_GB2312"/>
                <w:b/>
                <w:sz w:val="28"/>
                <w:szCs w:val="28"/>
              </w:rPr>
              <w:t>30</w:t>
            </w:r>
          </w:p>
        </w:tc>
        <w:tc>
          <w:tcPr>
            <w:tcW w:w="2995" w:type="dxa"/>
            <w:tcBorders>
              <w:top w:val="single" w:color="FFFFFF" w:sz="6" w:space="0"/>
              <w:left w:val="single" w:color="FFFFFF" w:sz="4" w:space="0"/>
              <w:bottom w:val="single" w:color="FFFFFF" w:sz="4" w:space="0"/>
            </w:tcBorders>
            <w:shd w:val="clear" w:color="auto" w:fill="C0C0C0"/>
            <w:vAlign w:val="center"/>
          </w:tcPr>
          <w:p>
            <w:pPr>
              <w:adjustRightInd w:val="0"/>
              <w:snapToGrid w:val="0"/>
              <w:spacing w:before="156" w:beforeLines="50" w:line="360" w:lineRule="auto"/>
              <w:jc w:val="center"/>
              <w:rPr>
                <w:rFonts w:eastAsia="仿宋_GB2312"/>
                <w:b/>
                <w:sz w:val="28"/>
                <w:szCs w:val="28"/>
              </w:rPr>
            </w:pPr>
            <w:r>
              <w:rPr>
                <w:rFonts w:hint="eastAsia" w:eastAsia="仿宋_GB2312"/>
                <w:b/>
                <w:sz w:val="28"/>
                <w:szCs w:val="28"/>
              </w:rPr>
              <w:t>26.20</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57" w:type="dxa"/>
            <w:bottom w:w="0" w:type="dxa"/>
            <w:right w:w="57" w:type="dxa"/>
          </w:tblCellMar>
        </w:tblPrEx>
        <w:trPr>
          <w:cantSplit/>
          <w:trHeight w:val="765" w:hRule="atLeast"/>
          <w:jc w:val="center"/>
        </w:trPr>
        <w:tc>
          <w:tcPr>
            <w:tcW w:w="2250" w:type="dxa"/>
            <w:tcBorders>
              <w:top w:val="single" w:color="FFFFFF" w:sz="4" w:space="0"/>
              <w:bottom w:val="single" w:color="FFFFFF" w:sz="4" w:space="0"/>
              <w:right w:val="single" w:color="FFFFFF" w:sz="6" w:space="0"/>
            </w:tcBorders>
            <w:shd w:val="clear" w:color="auto" w:fill="C0C0C0"/>
            <w:vAlign w:val="center"/>
          </w:tcPr>
          <w:p>
            <w:pPr>
              <w:adjustRightInd w:val="0"/>
              <w:snapToGrid w:val="0"/>
              <w:spacing w:before="156" w:beforeLines="50" w:after="60" w:line="360" w:lineRule="auto"/>
              <w:jc w:val="center"/>
              <w:rPr>
                <w:rFonts w:eastAsia="仿宋_GB2312"/>
                <w:b/>
                <w:sz w:val="28"/>
                <w:szCs w:val="28"/>
              </w:rPr>
            </w:pPr>
            <w:r>
              <w:rPr>
                <w:rFonts w:eastAsia="仿宋_GB2312"/>
                <w:b/>
                <w:sz w:val="28"/>
                <w:szCs w:val="28"/>
              </w:rPr>
              <w:t>综合得分</w:t>
            </w:r>
          </w:p>
        </w:tc>
        <w:tc>
          <w:tcPr>
            <w:tcW w:w="3240" w:type="dxa"/>
            <w:tcBorders>
              <w:top w:val="single" w:color="FFFFFF" w:sz="4" w:space="0"/>
              <w:left w:val="single" w:color="FFFFFF" w:sz="6" w:space="0"/>
              <w:bottom w:val="single" w:color="FFFFFF" w:sz="4" w:space="0"/>
            </w:tcBorders>
            <w:shd w:val="clear" w:color="auto" w:fill="C0C0C0"/>
            <w:vAlign w:val="center"/>
          </w:tcPr>
          <w:p>
            <w:pPr>
              <w:adjustRightInd w:val="0"/>
              <w:snapToGrid w:val="0"/>
              <w:spacing w:before="156" w:beforeLines="50" w:line="360" w:lineRule="auto"/>
              <w:jc w:val="center"/>
              <w:rPr>
                <w:rFonts w:eastAsia="仿宋_GB2312"/>
                <w:b/>
                <w:sz w:val="28"/>
                <w:szCs w:val="28"/>
              </w:rPr>
            </w:pPr>
            <w:r>
              <w:rPr>
                <w:rFonts w:eastAsia="仿宋_GB2312"/>
                <w:b/>
                <w:sz w:val="28"/>
                <w:szCs w:val="28"/>
              </w:rPr>
              <w:t>100</w:t>
            </w:r>
          </w:p>
        </w:tc>
        <w:tc>
          <w:tcPr>
            <w:tcW w:w="2995" w:type="dxa"/>
            <w:tcBorders>
              <w:top w:val="single" w:color="FFFFFF" w:sz="4" w:space="0"/>
              <w:left w:val="single" w:color="FFFFFF" w:sz="4" w:space="0"/>
              <w:bottom w:val="single" w:color="FFFFFF" w:sz="4" w:space="0"/>
            </w:tcBorders>
            <w:shd w:val="clear" w:color="auto" w:fill="C0C0C0"/>
            <w:vAlign w:val="center"/>
          </w:tcPr>
          <w:p>
            <w:pPr>
              <w:adjustRightInd w:val="0"/>
              <w:snapToGrid w:val="0"/>
              <w:spacing w:before="156" w:beforeLines="50" w:line="360" w:lineRule="auto"/>
              <w:jc w:val="center"/>
              <w:rPr>
                <w:rFonts w:eastAsia="仿宋_GB2312"/>
                <w:b/>
                <w:sz w:val="28"/>
                <w:szCs w:val="28"/>
              </w:rPr>
            </w:pPr>
            <w:r>
              <w:rPr>
                <w:rFonts w:hint="eastAsia" w:eastAsia="仿宋_GB2312"/>
                <w:b/>
                <w:sz w:val="28"/>
                <w:szCs w:val="28"/>
              </w:rPr>
              <w:t>91.16</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CellMar>
            <w:top w:w="0" w:type="dxa"/>
            <w:left w:w="57" w:type="dxa"/>
            <w:bottom w:w="0" w:type="dxa"/>
            <w:right w:w="57" w:type="dxa"/>
          </w:tblCellMar>
        </w:tblPrEx>
        <w:trPr>
          <w:cantSplit/>
          <w:trHeight w:val="885" w:hRule="atLeast"/>
          <w:jc w:val="center"/>
        </w:trPr>
        <w:tc>
          <w:tcPr>
            <w:tcW w:w="2250" w:type="dxa"/>
            <w:tcBorders>
              <w:top w:val="single" w:color="FFFFFF" w:sz="4" w:space="0"/>
              <w:right w:val="single" w:color="FFFFFF" w:sz="6" w:space="0"/>
            </w:tcBorders>
            <w:shd w:val="clear" w:color="auto" w:fill="C0C0C0"/>
            <w:vAlign w:val="center"/>
          </w:tcPr>
          <w:p>
            <w:pPr>
              <w:adjustRightInd w:val="0"/>
              <w:snapToGrid w:val="0"/>
              <w:spacing w:before="156" w:beforeLines="50" w:after="60" w:line="360" w:lineRule="auto"/>
              <w:jc w:val="center"/>
              <w:rPr>
                <w:rFonts w:eastAsia="仿宋_GB2312"/>
                <w:b/>
                <w:sz w:val="28"/>
                <w:szCs w:val="28"/>
              </w:rPr>
            </w:pPr>
            <w:r>
              <w:rPr>
                <w:rFonts w:eastAsia="仿宋_GB2312"/>
                <w:b/>
                <w:sz w:val="28"/>
                <w:szCs w:val="28"/>
              </w:rPr>
              <w:t>绩效评定级别</w:t>
            </w:r>
          </w:p>
        </w:tc>
        <w:tc>
          <w:tcPr>
            <w:tcW w:w="6235" w:type="dxa"/>
            <w:gridSpan w:val="2"/>
            <w:tcBorders>
              <w:top w:val="single" w:color="FFFFFF" w:sz="4" w:space="0"/>
              <w:left w:val="single" w:color="FFFFFF" w:sz="6" w:space="0"/>
            </w:tcBorders>
            <w:shd w:val="clear" w:color="auto" w:fill="C0C0C0"/>
            <w:vAlign w:val="center"/>
          </w:tcPr>
          <w:p>
            <w:pPr>
              <w:adjustRightInd w:val="0"/>
              <w:snapToGrid w:val="0"/>
              <w:spacing w:before="156" w:beforeLines="50" w:line="360" w:lineRule="auto"/>
              <w:jc w:val="center"/>
              <w:rPr>
                <w:rFonts w:eastAsia="仿宋_GB2312"/>
                <w:b/>
                <w:sz w:val="28"/>
                <w:szCs w:val="28"/>
              </w:rPr>
            </w:pPr>
            <w:r>
              <w:rPr>
                <w:rFonts w:eastAsia="仿宋_GB2312"/>
                <w:b/>
                <w:sz w:val="28"/>
                <w:szCs w:val="28"/>
              </w:rPr>
              <w:t>优秀</w:t>
            </w:r>
          </w:p>
        </w:tc>
      </w:tr>
    </w:tbl>
    <w:p>
      <w:pPr>
        <w:jc w:val="center"/>
        <w:rPr>
          <w:rFonts w:eastAsia="仿宋_GB2312"/>
          <w:sz w:val="32"/>
          <w:szCs w:val="32"/>
          <w:lang w:val="zh-CN"/>
        </w:rPr>
      </w:pPr>
    </w:p>
    <w:p>
      <w:pPr>
        <w:pStyle w:val="7"/>
        <w:tabs>
          <w:tab w:val="right" w:leader="dot" w:pos="8306"/>
        </w:tabs>
        <w:rPr>
          <w:rFonts w:eastAsia="仿宋_GB2312"/>
        </w:rPr>
      </w:pPr>
      <w:r>
        <w:rPr>
          <w:rFonts w:eastAsia="仿宋_GB2312"/>
          <w:sz w:val="28"/>
          <w:szCs w:val="28"/>
        </w:rPr>
        <w:fldChar w:fldCharType="begin"/>
      </w:r>
      <w:r>
        <w:rPr>
          <w:rFonts w:eastAsia="仿宋_GB2312"/>
          <w:sz w:val="28"/>
          <w:szCs w:val="28"/>
        </w:rPr>
        <w:instrText xml:space="preserve"> TOC \o "1-3" \h \z \u </w:instrText>
      </w:r>
      <w:r>
        <w:rPr>
          <w:rFonts w:eastAsia="仿宋_GB2312"/>
          <w:sz w:val="28"/>
          <w:szCs w:val="28"/>
        </w:rPr>
        <w:fldChar w:fldCharType="separate"/>
      </w:r>
    </w:p>
    <w:p>
      <w:pPr>
        <w:spacing w:line="360" w:lineRule="auto"/>
        <w:jc w:val="center"/>
        <w:rPr>
          <w:rFonts w:eastAsia="仿宋_GB2312"/>
          <w:bCs/>
          <w:szCs w:val="28"/>
          <w:lang w:val="zh-CN"/>
        </w:rPr>
      </w:pPr>
      <w:r>
        <w:rPr>
          <w:rFonts w:eastAsia="仿宋_GB2312"/>
          <w:bCs/>
          <w:szCs w:val="28"/>
          <w:lang w:val="zh-CN"/>
        </w:rPr>
        <w:fldChar w:fldCharType="end"/>
      </w:r>
    </w:p>
    <w:p>
      <w:pPr>
        <w:spacing w:line="360" w:lineRule="auto"/>
        <w:jc w:val="center"/>
        <w:rPr>
          <w:rFonts w:eastAsia="仿宋_GB2312"/>
          <w:b/>
          <w:sz w:val="28"/>
          <w:szCs w:val="28"/>
        </w:rPr>
      </w:pPr>
      <w:r>
        <w:rPr>
          <w:rFonts w:eastAsia="仿宋_GB2312"/>
          <w:b/>
          <w:bCs/>
          <w:sz w:val="36"/>
          <w:szCs w:val="36"/>
        </w:rPr>
        <w:t>目录</w:t>
      </w:r>
      <w:r>
        <w:rPr>
          <w:rFonts w:eastAsia="仿宋_GB2312"/>
          <w:sz w:val="28"/>
          <w:szCs w:val="28"/>
        </w:rPr>
        <w:fldChar w:fldCharType="begin"/>
      </w:r>
      <w:r>
        <w:rPr>
          <w:rFonts w:eastAsia="仿宋_GB2312"/>
          <w:sz w:val="28"/>
          <w:szCs w:val="28"/>
        </w:rPr>
        <w:instrText xml:space="preserve">TOC \o "1-2" \h \u </w:instrText>
      </w:r>
      <w:r>
        <w:rPr>
          <w:rFonts w:eastAsia="仿宋_GB2312"/>
          <w:sz w:val="28"/>
          <w:szCs w:val="28"/>
        </w:rPr>
        <w:fldChar w:fldCharType="separate"/>
      </w:r>
    </w:p>
    <w:p>
      <w:pPr>
        <w:pStyle w:val="20"/>
        <w:tabs>
          <w:tab w:val="right" w:leader="dot" w:pos="8306"/>
        </w:tabs>
        <w:spacing w:line="360" w:lineRule="auto"/>
        <w:rPr>
          <w:rFonts w:eastAsia="仿宋_GB2312"/>
          <w:b/>
          <w:sz w:val="28"/>
          <w:szCs w:val="28"/>
        </w:rPr>
      </w:pPr>
      <w:r>
        <w:fldChar w:fldCharType="begin"/>
      </w:r>
      <w:r>
        <w:instrText xml:space="preserve"> HYPERLINK \l "_Toc3037" </w:instrText>
      </w:r>
      <w:r>
        <w:fldChar w:fldCharType="separate"/>
      </w:r>
      <w:r>
        <w:rPr>
          <w:rFonts w:eastAsia="仿宋_GB2312"/>
          <w:b/>
          <w:sz w:val="28"/>
          <w:szCs w:val="28"/>
        </w:rPr>
        <w:t>一、基本情况</w:t>
      </w:r>
      <w:r>
        <w:rPr>
          <w:rFonts w:eastAsia="仿宋_GB2312"/>
          <w:b/>
          <w:sz w:val="28"/>
          <w:szCs w:val="28"/>
        </w:rPr>
        <w:tab/>
      </w:r>
      <w:r>
        <w:rPr>
          <w:rFonts w:eastAsia="仿宋_GB2312"/>
          <w:b/>
          <w:sz w:val="28"/>
          <w:szCs w:val="28"/>
        </w:rPr>
        <w:fldChar w:fldCharType="end"/>
      </w:r>
      <w:r>
        <w:rPr>
          <w:rFonts w:eastAsia="仿宋_GB2312"/>
          <w:b/>
          <w:sz w:val="28"/>
          <w:szCs w:val="28"/>
        </w:rPr>
        <w:t>1</w:t>
      </w:r>
    </w:p>
    <w:p>
      <w:pPr>
        <w:pStyle w:val="21"/>
        <w:tabs>
          <w:tab w:val="right" w:leader="dot" w:pos="8306"/>
        </w:tabs>
        <w:spacing w:line="360" w:lineRule="auto"/>
        <w:ind w:left="420"/>
        <w:rPr>
          <w:rFonts w:eastAsia="仿宋_GB2312"/>
          <w:sz w:val="28"/>
          <w:szCs w:val="28"/>
        </w:rPr>
      </w:pPr>
      <w:r>
        <w:fldChar w:fldCharType="begin"/>
      </w:r>
      <w:r>
        <w:instrText xml:space="preserve"> HYPERLINK \l "_Toc4474" </w:instrText>
      </w:r>
      <w:r>
        <w:fldChar w:fldCharType="separate"/>
      </w:r>
      <w:r>
        <w:rPr>
          <w:rFonts w:eastAsia="仿宋_GB2312"/>
          <w:sz w:val="28"/>
          <w:szCs w:val="28"/>
        </w:rPr>
        <w:t>（一）项目概况</w:t>
      </w:r>
      <w:r>
        <w:rPr>
          <w:rFonts w:eastAsia="仿宋_GB2312"/>
          <w:sz w:val="28"/>
          <w:szCs w:val="28"/>
        </w:rPr>
        <w:tab/>
      </w:r>
      <w:r>
        <w:rPr>
          <w:rFonts w:eastAsia="仿宋_GB2312"/>
          <w:sz w:val="28"/>
          <w:szCs w:val="28"/>
        </w:rPr>
        <w:fldChar w:fldCharType="begin"/>
      </w:r>
      <w:r>
        <w:rPr>
          <w:rFonts w:eastAsia="仿宋_GB2312"/>
          <w:sz w:val="28"/>
          <w:szCs w:val="28"/>
        </w:rPr>
        <w:instrText xml:space="preserve"> PAGEREF _Toc4474 \h </w:instrText>
      </w:r>
      <w:r>
        <w:rPr>
          <w:rFonts w:eastAsia="仿宋_GB2312"/>
          <w:sz w:val="28"/>
          <w:szCs w:val="28"/>
        </w:rPr>
        <w:fldChar w:fldCharType="separate"/>
      </w:r>
      <w:r>
        <w:rPr>
          <w:rFonts w:eastAsia="仿宋_GB2312"/>
          <w:sz w:val="28"/>
          <w:szCs w:val="28"/>
        </w:rPr>
        <w:t>1</w:t>
      </w:r>
      <w:r>
        <w:rPr>
          <w:rFonts w:eastAsia="仿宋_GB2312"/>
          <w:sz w:val="28"/>
          <w:szCs w:val="28"/>
        </w:rPr>
        <w:fldChar w:fldCharType="end"/>
      </w:r>
      <w:r>
        <w:rPr>
          <w:rFonts w:eastAsia="仿宋_GB2312"/>
          <w:sz w:val="28"/>
          <w:szCs w:val="28"/>
        </w:rPr>
        <w:fldChar w:fldCharType="end"/>
      </w:r>
    </w:p>
    <w:p>
      <w:pPr>
        <w:pStyle w:val="21"/>
        <w:tabs>
          <w:tab w:val="right" w:leader="dot" w:pos="8306"/>
        </w:tabs>
        <w:spacing w:line="360" w:lineRule="auto"/>
        <w:ind w:left="420"/>
        <w:rPr>
          <w:rFonts w:eastAsia="仿宋_GB2312"/>
          <w:sz w:val="28"/>
          <w:szCs w:val="28"/>
        </w:rPr>
      </w:pPr>
      <w:r>
        <w:fldChar w:fldCharType="begin"/>
      </w:r>
      <w:r>
        <w:instrText xml:space="preserve"> HYPERLINK \l "_Toc31030" </w:instrText>
      </w:r>
      <w:r>
        <w:fldChar w:fldCharType="separate"/>
      </w:r>
      <w:r>
        <w:rPr>
          <w:rFonts w:eastAsia="仿宋_GB2312"/>
          <w:sz w:val="28"/>
          <w:szCs w:val="28"/>
        </w:rPr>
        <w:t>（二）项目绩效目标</w:t>
      </w:r>
      <w:r>
        <w:rPr>
          <w:rFonts w:eastAsia="仿宋_GB2312"/>
          <w:sz w:val="28"/>
          <w:szCs w:val="28"/>
        </w:rPr>
        <w:tab/>
      </w:r>
      <w:r>
        <w:rPr>
          <w:rFonts w:eastAsia="仿宋_GB2312"/>
          <w:sz w:val="28"/>
          <w:szCs w:val="28"/>
        </w:rPr>
        <w:fldChar w:fldCharType="begin"/>
      </w:r>
      <w:r>
        <w:rPr>
          <w:rFonts w:eastAsia="仿宋_GB2312"/>
          <w:sz w:val="28"/>
          <w:szCs w:val="28"/>
        </w:rPr>
        <w:instrText xml:space="preserve"> PAGEREF _Toc31030 \h </w:instrText>
      </w:r>
      <w:r>
        <w:rPr>
          <w:rFonts w:eastAsia="仿宋_GB2312"/>
          <w:sz w:val="28"/>
          <w:szCs w:val="28"/>
        </w:rPr>
        <w:fldChar w:fldCharType="separate"/>
      </w:r>
      <w:r>
        <w:rPr>
          <w:rFonts w:eastAsia="仿宋_GB2312"/>
          <w:sz w:val="28"/>
          <w:szCs w:val="28"/>
        </w:rPr>
        <w:t>3</w:t>
      </w:r>
      <w:r>
        <w:rPr>
          <w:rFonts w:eastAsia="仿宋_GB2312"/>
          <w:sz w:val="28"/>
          <w:szCs w:val="28"/>
        </w:rPr>
        <w:fldChar w:fldCharType="end"/>
      </w:r>
      <w:r>
        <w:rPr>
          <w:rFonts w:eastAsia="仿宋_GB2312"/>
          <w:sz w:val="28"/>
          <w:szCs w:val="28"/>
        </w:rPr>
        <w:fldChar w:fldCharType="end"/>
      </w:r>
    </w:p>
    <w:p>
      <w:pPr>
        <w:pStyle w:val="20"/>
        <w:tabs>
          <w:tab w:val="right" w:leader="dot" w:pos="8306"/>
        </w:tabs>
        <w:spacing w:line="360" w:lineRule="auto"/>
        <w:rPr>
          <w:rFonts w:eastAsia="仿宋_GB2312"/>
          <w:b/>
          <w:sz w:val="28"/>
          <w:szCs w:val="28"/>
        </w:rPr>
      </w:pPr>
      <w:r>
        <w:fldChar w:fldCharType="begin"/>
      </w:r>
      <w:r>
        <w:instrText xml:space="preserve"> HYPERLINK \l "_Toc3291" </w:instrText>
      </w:r>
      <w:r>
        <w:fldChar w:fldCharType="separate"/>
      </w:r>
      <w:r>
        <w:rPr>
          <w:rFonts w:eastAsia="仿宋_GB2312"/>
          <w:b/>
          <w:sz w:val="28"/>
          <w:szCs w:val="28"/>
        </w:rPr>
        <w:t>二、绩效评价工作开展情况</w:t>
      </w:r>
      <w:r>
        <w:rPr>
          <w:rFonts w:eastAsia="仿宋_GB2312"/>
          <w:b/>
          <w:sz w:val="28"/>
          <w:szCs w:val="28"/>
        </w:rPr>
        <w:tab/>
      </w:r>
      <w:r>
        <w:rPr>
          <w:rFonts w:eastAsia="仿宋_GB2312"/>
          <w:b/>
          <w:sz w:val="28"/>
          <w:szCs w:val="28"/>
        </w:rPr>
        <w:fldChar w:fldCharType="begin"/>
      </w:r>
      <w:r>
        <w:rPr>
          <w:rFonts w:eastAsia="仿宋_GB2312"/>
          <w:b/>
          <w:sz w:val="28"/>
          <w:szCs w:val="28"/>
        </w:rPr>
        <w:instrText xml:space="preserve"> PAGEREF _Toc3291 \h </w:instrText>
      </w:r>
      <w:r>
        <w:rPr>
          <w:rFonts w:eastAsia="仿宋_GB2312"/>
          <w:b/>
          <w:sz w:val="28"/>
          <w:szCs w:val="28"/>
        </w:rPr>
        <w:fldChar w:fldCharType="separate"/>
      </w:r>
      <w:r>
        <w:rPr>
          <w:rFonts w:eastAsia="仿宋_GB2312"/>
          <w:b/>
          <w:sz w:val="28"/>
          <w:szCs w:val="28"/>
        </w:rPr>
        <w:t>3</w:t>
      </w:r>
      <w:r>
        <w:rPr>
          <w:rFonts w:eastAsia="仿宋_GB2312"/>
          <w:b/>
          <w:sz w:val="28"/>
          <w:szCs w:val="28"/>
        </w:rPr>
        <w:fldChar w:fldCharType="end"/>
      </w:r>
      <w:r>
        <w:rPr>
          <w:rFonts w:eastAsia="仿宋_GB2312"/>
          <w:b/>
          <w:sz w:val="28"/>
          <w:szCs w:val="28"/>
        </w:rPr>
        <w:fldChar w:fldCharType="end"/>
      </w:r>
    </w:p>
    <w:p>
      <w:pPr>
        <w:pStyle w:val="21"/>
        <w:tabs>
          <w:tab w:val="right" w:leader="dot" w:pos="8306"/>
        </w:tabs>
        <w:spacing w:line="360" w:lineRule="auto"/>
        <w:ind w:left="420"/>
        <w:rPr>
          <w:rFonts w:eastAsia="仿宋_GB2312"/>
          <w:sz w:val="28"/>
          <w:szCs w:val="28"/>
        </w:rPr>
      </w:pPr>
      <w:r>
        <w:fldChar w:fldCharType="begin"/>
      </w:r>
      <w:r>
        <w:instrText xml:space="preserve"> HYPERLINK \l "_Toc11053" </w:instrText>
      </w:r>
      <w:r>
        <w:fldChar w:fldCharType="separate"/>
      </w:r>
      <w:r>
        <w:rPr>
          <w:rFonts w:eastAsia="仿宋_GB2312"/>
          <w:sz w:val="28"/>
          <w:szCs w:val="28"/>
        </w:rPr>
        <w:t>（一）绩效评价目的、对象和范围</w:t>
      </w:r>
      <w:r>
        <w:rPr>
          <w:rFonts w:eastAsia="仿宋_GB2312"/>
          <w:sz w:val="28"/>
          <w:szCs w:val="28"/>
        </w:rPr>
        <w:tab/>
      </w:r>
      <w:r>
        <w:rPr>
          <w:rFonts w:eastAsia="仿宋_GB2312"/>
          <w:sz w:val="28"/>
          <w:szCs w:val="28"/>
        </w:rPr>
        <w:fldChar w:fldCharType="begin"/>
      </w:r>
      <w:r>
        <w:rPr>
          <w:rFonts w:eastAsia="仿宋_GB2312"/>
          <w:sz w:val="28"/>
          <w:szCs w:val="28"/>
        </w:rPr>
        <w:instrText xml:space="preserve"> PAGEREF _Toc11053 \h </w:instrText>
      </w:r>
      <w:r>
        <w:rPr>
          <w:rFonts w:eastAsia="仿宋_GB2312"/>
          <w:sz w:val="28"/>
          <w:szCs w:val="28"/>
        </w:rPr>
        <w:fldChar w:fldCharType="separate"/>
      </w:r>
      <w:r>
        <w:rPr>
          <w:rFonts w:eastAsia="仿宋_GB2312"/>
          <w:sz w:val="28"/>
          <w:szCs w:val="28"/>
        </w:rPr>
        <w:t>3</w:t>
      </w:r>
      <w:r>
        <w:rPr>
          <w:rFonts w:eastAsia="仿宋_GB2312"/>
          <w:sz w:val="28"/>
          <w:szCs w:val="28"/>
        </w:rPr>
        <w:fldChar w:fldCharType="end"/>
      </w:r>
      <w:r>
        <w:rPr>
          <w:rFonts w:eastAsia="仿宋_GB2312"/>
          <w:sz w:val="28"/>
          <w:szCs w:val="28"/>
        </w:rPr>
        <w:fldChar w:fldCharType="end"/>
      </w:r>
    </w:p>
    <w:p>
      <w:pPr>
        <w:pStyle w:val="21"/>
        <w:tabs>
          <w:tab w:val="right" w:leader="dot" w:pos="8306"/>
        </w:tabs>
        <w:spacing w:line="360" w:lineRule="auto"/>
        <w:ind w:left="420"/>
        <w:rPr>
          <w:rFonts w:eastAsia="仿宋_GB2312"/>
          <w:sz w:val="28"/>
          <w:szCs w:val="28"/>
        </w:rPr>
      </w:pPr>
      <w:r>
        <w:fldChar w:fldCharType="begin"/>
      </w:r>
      <w:r>
        <w:instrText xml:space="preserve"> HYPERLINK \l "_Toc32233" </w:instrText>
      </w:r>
      <w:r>
        <w:fldChar w:fldCharType="separate"/>
      </w:r>
      <w:r>
        <w:rPr>
          <w:rFonts w:eastAsia="仿宋_GB2312"/>
          <w:sz w:val="28"/>
          <w:szCs w:val="28"/>
        </w:rPr>
        <w:t>（二）绩效评价原则、评价指标体系、评价方法、评价标准</w:t>
      </w:r>
      <w:r>
        <w:rPr>
          <w:rFonts w:eastAsia="仿宋_GB2312"/>
          <w:sz w:val="28"/>
          <w:szCs w:val="28"/>
        </w:rPr>
        <w:tab/>
      </w:r>
      <w:r>
        <w:rPr>
          <w:rFonts w:eastAsia="仿宋_GB2312"/>
          <w:sz w:val="28"/>
          <w:szCs w:val="28"/>
        </w:rPr>
        <w:fldChar w:fldCharType="begin"/>
      </w:r>
      <w:r>
        <w:rPr>
          <w:rFonts w:eastAsia="仿宋_GB2312"/>
          <w:sz w:val="28"/>
          <w:szCs w:val="28"/>
        </w:rPr>
        <w:instrText xml:space="preserve"> PAGEREF _Toc32233 \h </w:instrText>
      </w:r>
      <w:r>
        <w:rPr>
          <w:rFonts w:eastAsia="仿宋_GB2312"/>
          <w:sz w:val="28"/>
          <w:szCs w:val="28"/>
        </w:rPr>
        <w:fldChar w:fldCharType="separate"/>
      </w:r>
      <w:r>
        <w:rPr>
          <w:rFonts w:eastAsia="仿宋_GB2312"/>
          <w:sz w:val="28"/>
          <w:szCs w:val="28"/>
        </w:rPr>
        <w:t>4</w:t>
      </w:r>
      <w:r>
        <w:rPr>
          <w:rFonts w:eastAsia="仿宋_GB2312"/>
          <w:sz w:val="28"/>
          <w:szCs w:val="28"/>
        </w:rPr>
        <w:fldChar w:fldCharType="end"/>
      </w:r>
      <w:r>
        <w:rPr>
          <w:rFonts w:eastAsia="仿宋_GB2312"/>
          <w:sz w:val="28"/>
          <w:szCs w:val="28"/>
        </w:rPr>
        <w:fldChar w:fldCharType="end"/>
      </w:r>
    </w:p>
    <w:p>
      <w:pPr>
        <w:pStyle w:val="21"/>
        <w:tabs>
          <w:tab w:val="right" w:leader="dot" w:pos="8306"/>
        </w:tabs>
        <w:spacing w:line="360" w:lineRule="auto"/>
        <w:ind w:left="420"/>
        <w:rPr>
          <w:rFonts w:eastAsia="仿宋_GB2312"/>
          <w:sz w:val="28"/>
          <w:szCs w:val="28"/>
        </w:rPr>
      </w:pPr>
      <w:r>
        <w:fldChar w:fldCharType="begin"/>
      </w:r>
      <w:r>
        <w:instrText xml:space="preserve"> HYPERLINK \l "_Toc4176" </w:instrText>
      </w:r>
      <w:r>
        <w:fldChar w:fldCharType="separate"/>
      </w:r>
      <w:r>
        <w:rPr>
          <w:rFonts w:eastAsia="仿宋_GB2312"/>
          <w:sz w:val="28"/>
          <w:szCs w:val="28"/>
        </w:rPr>
        <w:t>（三）绩效评价工作过程</w:t>
      </w:r>
      <w:r>
        <w:rPr>
          <w:rFonts w:eastAsia="仿宋_GB2312"/>
          <w:sz w:val="28"/>
          <w:szCs w:val="28"/>
        </w:rPr>
        <w:tab/>
      </w:r>
      <w:r>
        <w:rPr>
          <w:rFonts w:eastAsia="仿宋_GB2312"/>
          <w:sz w:val="28"/>
          <w:szCs w:val="28"/>
        </w:rPr>
        <w:t>5</w:t>
      </w:r>
      <w:r>
        <w:rPr>
          <w:rFonts w:eastAsia="仿宋_GB2312"/>
          <w:sz w:val="28"/>
          <w:szCs w:val="28"/>
        </w:rPr>
        <w:fldChar w:fldCharType="end"/>
      </w:r>
    </w:p>
    <w:p>
      <w:pPr>
        <w:pStyle w:val="20"/>
        <w:tabs>
          <w:tab w:val="right" w:leader="dot" w:pos="8306"/>
        </w:tabs>
        <w:spacing w:line="360" w:lineRule="auto"/>
        <w:rPr>
          <w:rFonts w:eastAsia="仿宋_GB2312"/>
          <w:b/>
          <w:sz w:val="28"/>
          <w:szCs w:val="28"/>
        </w:rPr>
      </w:pPr>
      <w:r>
        <w:fldChar w:fldCharType="begin"/>
      </w:r>
      <w:r>
        <w:instrText xml:space="preserve"> HYPERLINK \l "_Toc15927" </w:instrText>
      </w:r>
      <w:r>
        <w:fldChar w:fldCharType="separate"/>
      </w:r>
      <w:r>
        <w:rPr>
          <w:rFonts w:eastAsia="仿宋_GB2312"/>
          <w:b/>
          <w:sz w:val="28"/>
          <w:szCs w:val="28"/>
        </w:rPr>
        <w:t>三、 综合评价情况及评价结论</w:t>
      </w:r>
      <w:r>
        <w:rPr>
          <w:rFonts w:eastAsia="仿宋_GB2312"/>
          <w:b/>
          <w:sz w:val="28"/>
          <w:szCs w:val="28"/>
        </w:rPr>
        <w:tab/>
      </w:r>
      <w:r>
        <w:rPr>
          <w:rFonts w:eastAsia="仿宋_GB2312"/>
          <w:b/>
          <w:sz w:val="28"/>
          <w:szCs w:val="28"/>
        </w:rPr>
        <w:t>7</w:t>
      </w:r>
      <w:r>
        <w:rPr>
          <w:rFonts w:eastAsia="仿宋_GB2312"/>
          <w:b/>
          <w:sz w:val="28"/>
          <w:szCs w:val="28"/>
        </w:rPr>
        <w:fldChar w:fldCharType="end"/>
      </w:r>
    </w:p>
    <w:p>
      <w:pPr>
        <w:pStyle w:val="20"/>
        <w:tabs>
          <w:tab w:val="right" w:leader="dot" w:pos="8306"/>
        </w:tabs>
        <w:spacing w:line="360" w:lineRule="auto"/>
        <w:rPr>
          <w:rFonts w:eastAsia="仿宋_GB2312"/>
          <w:b/>
          <w:sz w:val="28"/>
          <w:szCs w:val="28"/>
        </w:rPr>
      </w:pPr>
      <w:r>
        <w:fldChar w:fldCharType="begin"/>
      </w:r>
      <w:r>
        <w:instrText xml:space="preserve"> HYPERLINK \l "_Toc13922" </w:instrText>
      </w:r>
      <w:r>
        <w:fldChar w:fldCharType="separate"/>
      </w:r>
      <w:r>
        <w:rPr>
          <w:rFonts w:eastAsia="仿宋_GB2312"/>
          <w:b/>
          <w:sz w:val="28"/>
          <w:szCs w:val="28"/>
        </w:rPr>
        <w:t>四、 绩效评价指标分析</w:t>
      </w:r>
      <w:r>
        <w:rPr>
          <w:rFonts w:eastAsia="仿宋_GB2312"/>
          <w:b/>
          <w:sz w:val="28"/>
          <w:szCs w:val="28"/>
        </w:rPr>
        <w:tab/>
      </w:r>
      <w:r>
        <w:rPr>
          <w:rFonts w:eastAsia="仿宋_GB2312"/>
          <w:b/>
          <w:sz w:val="28"/>
          <w:szCs w:val="28"/>
        </w:rPr>
        <w:fldChar w:fldCharType="begin"/>
      </w:r>
      <w:r>
        <w:rPr>
          <w:rFonts w:eastAsia="仿宋_GB2312"/>
          <w:b/>
          <w:sz w:val="28"/>
          <w:szCs w:val="28"/>
        </w:rPr>
        <w:instrText xml:space="preserve"> PAGEREF _Toc13922 \h </w:instrText>
      </w:r>
      <w:r>
        <w:rPr>
          <w:rFonts w:eastAsia="仿宋_GB2312"/>
          <w:b/>
          <w:sz w:val="28"/>
          <w:szCs w:val="28"/>
        </w:rPr>
        <w:fldChar w:fldCharType="separate"/>
      </w:r>
      <w:r>
        <w:rPr>
          <w:rFonts w:eastAsia="仿宋_GB2312"/>
          <w:b/>
          <w:sz w:val="28"/>
          <w:szCs w:val="28"/>
        </w:rPr>
        <w:t>7</w:t>
      </w:r>
      <w:r>
        <w:rPr>
          <w:rFonts w:eastAsia="仿宋_GB2312"/>
          <w:b/>
          <w:sz w:val="28"/>
          <w:szCs w:val="28"/>
        </w:rPr>
        <w:fldChar w:fldCharType="end"/>
      </w:r>
      <w:r>
        <w:rPr>
          <w:rFonts w:eastAsia="仿宋_GB2312"/>
          <w:b/>
          <w:sz w:val="28"/>
          <w:szCs w:val="28"/>
        </w:rPr>
        <w:fldChar w:fldCharType="end"/>
      </w:r>
    </w:p>
    <w:p>
      <w:pPr>
        <w:pStyle w:val="21"/>
        <w:tabs>
          <w:tab w:val="right" w:leader="dot" w:pos="8306"/>
        </w:tabs>
        <w:spacing w:line="360" w:lineRule="auto"/>
        <w:ind w:left="0" w:leftChars="0" w:firstLine="400" w:firstLineChars="200"/>
        <w:rPr>
          <w:rFonts w:eastAsia="仿宋_GB2312"/>
          <w:sz w:val="28"/>
          <w:szCs w:val="28"/>
        </w:rPr>
      </w:pPr>
      <w:r>
        <w:fldChar w:fldCharType="begin"/>
      </w:r>
      <w:r>
        <w:instrText xml:space="preserve"> HYPERLINK \l "_Toc29870" </w:instrText>
      </w:r>
      <w:r>
        <w:fldChar w:fldCharType="separate"/>
      </w:r>
      <w:r>
        <w:rPr>
          <w:rFonts w:eastAsia="仿宋_GB2312"/>
          <w:sz w:val="28"/>
          <w:szCs w:val="28"/>
        </w:rPr>
        <w:t>（一）项目决策情况</w:t>
      </w:r>
      <w:r>
        <w:rPr>
          <w:rFonts w:eastAsia="仿宋_GB2312"/>
          <w:sz w:val="28"/>
          <w:szCs w:val="28"/>
        </w:rPr>
        <w:tab/>
      </w:r>
      <w:r>
        <w:rPr>
          <w:rFonts w:eastAsia="仿宋_GB2312"/>
          <w:sz w:val="28"/>
          <w:szCs w:val="28"/>
        </w:rPr>
        <w:fldChar w:fldCharType="begin"/>
      </w:r>
      <w:r>
        <w:rPr>
          <w:rFonts w:eastAsia="仿宋_GB2312"/>
          <w:sz w:val="28"/>
          <w:szCs w:val="28"/>
        </w:rPr>
        <w:instrText xml:space="preserve"> PAGEREF _Toc29870 \h </w:instrText>
      </w:r>
      <w:r>
        <w:rPr>
          <w:rFonts w:eastAsia="仿宋_GB2312"/>
          <w:sz w:val="28"/>
          <w:szCs w:val="28"/>
        </w:rPr>
        <w:fldChar w:fldCharType="separate"/>
      </w:r>
      <w:r>
        <w:rPr>
          <w:rFonts w:eastAsia="仿宋_GB2312"/>
          <w:sz w:val="28"/>
          <w:szCs w:val="28"/>
        </w:rPr>
        <w:t>7</w:t>
      </w:r>
      <w:r>
        <w:rPr>
          <w:rFonts w:eastAsia="仿宋_GB2312"/>
          <w:sz w:val="28"/>
          <w:szCs w:val="28"/>
        </w:rPr>
        <w:fldChar w:fldCharType="end"/>
      </w:r>
      <w:r>
        <w:rPr>
          <w:rFonts w:eastAsia="仿宋_GB2312"/>
          <w:sz w:val="28"/>
          <w:szCs w:val="28"/>
        </w:rPr>
        <w:fldChar w:fldCharType="end"/>
      </w:r>
    </w:p>
    <w:p>
      <w:pPr>
        <w:pStyle w:val="21"/>
        <w:tabs>
          <w:tab w:val="right" w:leader="dot" w:pos="8306"/>
        </w:tabs>
        <w:spacing w:line="360" w:lineRule="auto"/>
        <w:ind w:left="0" w:leftChars="0" w:firstLine="400" w:firstLineChars="200"/>
        <w:rPr>
          <w:rFonts w:eastAsia="仿宋_GB2312"/>
          <w:sz w:val="28"/>
          <w:szCs w:val="28"/>
        </w:rPr>
      </w:pPr>
      <w:r>
        <w:fldChar w:fldCharType="begin"/>
      </w:r>
      <w:r>
        <w:instrText xml:space="preserve"> HYPERLINK \l "_Toc3093" </w:instrText>
      </w:r>
      <w:r>
        <w:fldChar w:fldCharType="separate"/>
      </w:r>
      <w:r>
        <w:rPr>
          <w:rFonts w:eastAsia="仿宋_GB2312"/>
          <w:sz w:val="28"/>
          <w:szCs w:val="28"/>
        </w:rPr>
        <w:t>（二） 项目过程情况</w:t>
      </w:r>
      <w:r>
        <w:rPr>
          <w:rFonts w:eastAsia="仿宋_GB2312"/>
          <w:sz w:val="28"/>
          <w:szCs w:val="28"/>
        </w:rPr>
        <w:tab/>
      </w:r>
      <w:r>
        <w:rPr>
          <w:rFonts w:eastAsia="仿宋_GB2312"/>
          <w:sz w:val="28"/>
          <w:szCs w:val="28"/>
        </w:rPr>
        <w:t>9</w:t>
      </w:r>
      <w:r>
        <w:rPr>
          <w:rFonts w:eastAsia="仿宋_GB2312"/>
          <w:sz w:val="28"/>
          <w:szCs w:val="28"/>
        </w:rPr>
        <w:fldChar w:fldCharType="end"/>
      </w:r>
    </w:p>
    <w:p>
      <w:pPr>
        <w:pStyle w:val="20"/>
        <w:tabs>
          <w:tab w:val="right" w:leader="dot" w:pos="8306"/>
        </w:tabs>
        <w:spacing w:line="360" w:lineRule="auto"/>
        <w:ind w:firstLine="400" w:firstLineChars="200"/>
        <w:rPr>
          <w:rFonts w:eastAsia="仿宋_GB2312"/>
          <w:sz w:val="28"/>
          <w:szCs w:val="28"/>
        </w:rPr>
      </w:pPr>
      <w:r>
        <w:fldChar w:fldCharType="begin"/>
      </w:r>
      <w:r>
        <w:instrText xml:space="preserve"> HYPERLINK \l "_Toc25323" </w:instrText>
      </w:r>
      <w:r>
        <w:fldChar w:fldCharType="separate"/>
      </w:r>
      <w:r>
        <w:rPr>
          <w:rFonts w:eastAsia="仿宋_GB2312"/>
          <w:sz w:val="28"/>
          <w:szCs w:val="28"/>
        </w:rPr>
        <w:t>（三） 项目产出情况</w:t>
      </w:r>
      <w:r>
        <w:rPr>
          <w:rFonts w:eastAsia="仿宋_GB2312"/>
          <w:sz w:val="28"/>
          <w:szCs w:val="28"/>
        </w:rPr>
        <w:tab/>
      </w:r>
      <w:r>
        <w:rPr>
          <w:rFonts w:eastAsia="仿宋_GB2312"/>
          <w:sz w:val="28"/>
          <w:szCs w:val="28"/>
        </w:rPr>
        <w:fldChar w:fldCharType="begin"/>
      </w:r>
      <w:r>
        <w:rPr>
          <w:rFonts w:eastAsia="仿宋_GB2312"/>
          <w:sz w:val="28"/>
          <w:szCs w:val="28"/>
        </w:rPr>
        <w:instrText xml:space="preserve"> PAGEREF _Toc25323 \h </w:instrText>
      </w:r>
      <w:r>
        <w:rPr>
          <w:rFonts w:eastAsia="仿宋_GB2312"/>
          <w:sz w:val="28"/>
          <w:szCs w:val="28"/>
        </w:rPr>
        <w:fldChar w:fldCharType="separate"/>
      </w:r>
      <w:r>
        <w:rPr>
          <w:rFonts w:eastAsia="仿宋_GB2312"/>
          <w:sz w:val="28"/>
          <w:szCs w:val="28"/>
        </w:rPr>
        <w:t>9</w:t>
      </w:r>
      <w:r>
        <w:rPr>
          <w:rFonts w:eastAsia="仿宋_GB2312"/>
          <w:sz w:val="28"/>
          <w:szCs w:val="28"/>
        </w:rPr>
        <w:fldChar w:fldCharType="end"/>
      </w:r>
      <w:r>
        <w:rPr>
          <w:rFonts w:eastAsia="仿宋_GB2312"/>
          <w:sz w:val="28"/>
          <w:szCs w:val="28"/>
        </w:rPr>
        <w:fldChar w:fldCharType="end"/>
      </w:r>
    </w:p>
    <w:p>
      <w:pPr>
        <w:pStyle w:val="21"/>
        <w:tabs>
          <w:tab w:val="right" w:leader="dot" w:pos="8306"/>
        </w:tabs>
        <w:spacing w:line="360" w:lineRule="auto"/>
        <w:ind w:left="0" w:leftChars="0" w:firstLine="400" w:firstLineChars="200"/>
        <w:rPr>
          <w:rFonts w:eastAsia="仿宋_GB2312"/>
          <w:sz w:val="28"/>
          <w:szCs w:val="28"/>
        </w:rPr>
      </w:pPr>
      <w:r>
        <w:fldChar w:fldCharType="begin"/>
      </w:r>
      <w:r>
        <w:instrText xml:space="preserve"> HYPERLINK \l "_Toc631" </w:instrText>
      </w:r>
      <w:r>
        <w:fldChar w:fldCharType="separate"/>
      </w:r>
      <w:r>
        <w:rPr>
          <w:rFonts w:eastAsia="仿宋_GB2312"/>
          <w:sz w:val="28"/>
          <w:szCs w:val="28"/>
        </w:rPr>
        <w:t>（四） 项目效益情况</w:t>
      </w:r>
      <w:r>
        <w:rPr>
          <w:rFonts w:eastAsia="仿宋_GB2312"/>
          <w:sz w:val="28"/>
          <w:szCs w:val="28"/>
        </w:rPr>
        <w:tab/>
      </w:r>
      <w:r>
        <w:rPr>
          <w:rFonts w:eastAsia="仿宋_GB2312"/>
          <w:sz w:val="28"/>
          <w:szCs w:val="28"/>
        </w:rPr>
        <w:t>14</w:t>
      </w:r>
      <w:r>
        <w:rPr>
          <w:rFonts w:eastAsia="仿宋_GB2312"/>
          <w:sz w:val="28"/>
          <w:szCs w:val="28"/>
        </w:rPr>
        <w:fldChar w:fldCharType="end"/>
      </w:r>
    </w:p>
    <w:p>
      <w:pPr>
        <w:pStyle w:val="20"/>
        <w:tabs>
          <w:tab w:val="right" w:leader="dot" w:pos="8306"/>
        </w:tabs>
        <w:spacing w:line="360" w:lineRule="auto"/>
        <w:rPr>
          <w:rFonts w:eastAsia="仿宋_GB2312"/>
          <w:b/>
          <w:sz w:val="28"/>
          <w:szCs w:val="28"/>
        </w:rPr>
      </w:pPr>
      <w:r>
        <w:fldChar w:fldCharType="begin"/>
      </w:r>
      <w:r>
        <w:instrText xml:space="preserve"> HYPERLINK \l "_Toc19957" </w:instrText>
      </w:r>
      <w:r>
        <w:fldChar w:fldCharType="separate"/>
      </w:r>
      <w:r>
        <w:rPr>
          <w:rFonts w:eastAsia="仿宋_GB2312"/>
          <w:b/>
          <w:sz w:val="28"/>
          <w:szCs w:val="28"/>
        </w:rPr>
        <w:t>五、 主要存在的问题及原因分析</w:t>
      </w:r>
      <w:r>
        <w:rPr>
          <w:rFonts w:eastAsia="仿宋_GB2312"/>
          <w:b/>
          <w:sz w:val="28"/>
          <w:szCs w:val="28"/>
        </w:rPr>
        <w:tab/>
      </w:r>
      <w:r>
        <w:rPr>
          <w:rFonts w:eastAsia="仿宋_GB2312"/>
          <w:b/>
          <w:sz w:val="28"/>
          <w:szCs w:val="28"/>
        </w:rPr>
        <w:t>15</w:t>
      </w:r>
      <w:r>
        <w:rPr>
          <w:rFonts w:eastAsia="仿宋_GB2312"/>
          <w:b/>
          <w:sz w:val="28"/>
          <w:szCs w:val="28"/>
        </w:rPr>
        <w:fldChar w:fldCharType="end"/>
      </w:r>
    </w:p>
    <w:p>
      <w:pPr>
        <w:pStyle w:val="20"/>
        <w:tabs>
          <w:tab w:val="right" w:leader="dot" w:pos="8306"/>
        </w:tabs>
        <w:spacing w:line="360" w:lineRule="auto"/>
        <w:rPr>
          <w:rFonts w:eastAsia="仿宋_GB2312"/>
          <w:b/>
          <w:sz w:val="28"/>
          <w:szCs w:val="28"/>
        </w:rPr>
      </w:pPr>
      <w:r>
        <w:fldChar w:fldCharType="begin"/>
      </w:r>
      <w:r>
        <w:instrText xml:space="preserve"> HYPERLINK \l "_Toc28866" </w:instrText>
      </w:r>
      <w:r>
        <w:fldChar w:fldCharType="separate"/>
      </w:r>
      <w:r>
        <w:rPr>
          <w:rFonts w:eastAsia="仿宋_GB2312"/>
          <w:b/>
          <w:sz w:val="28"/>
          <w:szCs w:val="28"/>
        </w:rPr>
        <w:t>六、 有关建议</w:t>
      </w:r>
      <w:r>
        <w:rPr>
          <w:rFonts w:eastAsia="仿宋_GB2312"/>
          <w:b/>
          <w:sz w:val="28"/>
          <w:szCs w:val="28"/>
        </w:rPr>
        <w:tab/>
      </w:r>
      <w:r>
        <w:rPr>
          <w:rFonts w:eastAsia="仿宋_GB2312"/>
          <w:b/>
          <w:sz w:val="28"/>
          <w:szCs w:val="28"/>
        </w:rPr>
        <w:t>16</w:t>
      </w:r>
      <w:r>
        <w:rPr>
          <w:rFonts w:eastAsia="仿宋_GB2312"/>
          <w:b/>
          <w:sz w:val="28"/>
          <w:szCs w:val="28"/>
        </w:rPr>
        <w:fldChar w:fldCharType="end"/>
      </w:r>
    </w:p>
    <w:p>
      <w:pPr>
        <w:pStyle w:val="20"/>
        <w:tabs>
          <w:tab w:val="right" w:leader="dot" w:pos="8306"/>
        </w:tabs>
        <w:spacing w:line="360" w:lineRule="auto"/>
        <w:rPr>
          <w:rFonts w:eastAsia="仿宋_GB2312"/>
          <w:b/>
          <w:sz w:val="28"/>
          <w:szCs w:val="28"/>
        </w:rPr>
      </w:pPr>
      <w:r>
        <w:fldChar w:fldCharType="begin"/>
      </w:r>
      <w:r>
        <w:instrText xml:space="preserve"> HYPERLINK \l "_Toc31994" </w:instrText>
      </w:r>
      <w:r>
        <w:fldChar w:fldCharType="separate"/>
      </w:r>
      <w:r>
        <w:rPr>
          <w:rFonts w:eastAsia="仿宋_GB2312"/>
          <w:b/>
          <w:sz w:val="28"/>
          <w:szCs w:val="28"/>
        </w:rPr>
        <w:t>七、其他需要说明的问题</w:t>
      </w:r>
      <w:r>
        <w:rPr>
          <w:rFonts w:eastAsia="仿宋_GB2312"/>
          <w:b/>
          <w:sz w:val="28"/>
          <w:szCs w:val="28"/>
        </w:rPr>
        <w:tab/>
      </w:r>
      <w:r>
        <w:rPr>
          <w:rFonts w:eastAsia="仿宋_GB2312"/>
          <w:b/>
          <w:sz w:val="28"/>
          <w:szCs w:val="28"/>
        </w:rPr>
        <w:t>17</w:t>
      </w:r>
      <w:r>
        <w:rPr>
          <w:rFonts w:eastAsia="仿宋_GB2312"/>
          <w:b/>
          <w:sz w:val="28"/>
          <w:szCs w:val="28"/>
        </w:rPr>
        <w:fldChar w:fldCharType="end"/>
      </w:r>
    </w:p>
    <w:p>
      <w:pPr>
        <w:widowControl/>
        <w:spacing w:line="320" w:lineRule="exact"/>
        <w:rPr>
          <w:rFonts w:eastAsia="仿宋_GB2312"/>
          <w:b/>
          <w:sz w:val="28"/>
          <w:szCs w:val="28"/>
        </w:rPr>
        <w:sectPr>
          <w:headerReference r:id="rId3" w:type="default"/>
          <w:pgSz w:w="11906" w:h="16838"/>
          <w:pgMar w:top="1440" w:right="1800" w:bottom="1440" w:left="1800" w:header="851" w:footer="992" w:gutter="0"/>
          <w:cols w:space="425" w:num="1"/>
          <w:docGrid w:type="lines" w:linePitch="312" w:charSpace="0"/>
        </w:sectPr>
      </w:pPr>
    </w:p>
    <w:p>
      <w:pPr>
        <w:widowControl/>
        <w:spacing w:line="320" w:lineRule="exact"/>
        <w:jc w:val="left"/>
        <w:rPr>
          <w:rFonts w:eastAsia="仿宋_GB2312"/>
          <w:b/>
          <w:bCs/>
          <w:sz w:val="36"/>
          <w:szCs w:val="36"/>
        </w:rPr>
      </w:pPr>
      <w:r>
        <w:rPr>
          <w:rFonts w:eastAsia="仿宋_GB2312"/>
          <w:b/>
          <w:sz w:val="28"/>
          <w:szCs w:val="28"/>
        </w:rPr>
        <w:fldChar w:fldCharType="end"/>
      </w:r>
    </w:p>
    <w:p>
      <w:pPr>
        <w:jc w:val="center"/>
        <w:rPr>
          <w:rFonts w:ascii="方正小标宋简体" w:eastAsia="方正小标宋简体"/>
          <w:bCs/>
          <w:sz w:val="36"/>
          <w:szCs w:val="36"/>
        </w:rPr>
      </w:pPr>
      <w:r>
        <w:rPr>
          <w:rFonts w:hint="eastAsia" w:ascii="方正小标宋简体" w:eastAsia="方正小标宋简体"/>
          <w:bCs/>
          <w:sz w:val="36"/>
          <w:szCs w:val="36"/>
        </w:rPr>
        <w:t>北京市人民代表大会常务委员会</w:t>
      </w:r>
    </w:p>
    <w:p>
      <w:pPr>
        <w:jc w:val="center"/>
        <w:outlineLvl w:val="0"/>
        <w:rPr>
          <w:rFonts w:ascii="方正小标宋简体" w:eastAsia="方正小标宋简体"/>
          <w:bCs/>
          <w:sz w:val="36"/>
          <w:szCs w:val="36"/>
        </w:rPr>
      </w:pPr>
      <w:r>
        <w:rPr>
          <w:rFonts w:hint="eastAsia" w:ascii="方正小标宋简体" w:eastAsia="方正小标宋简体"/>
          <w:bCs/>
          <w:sz w:val="36"/>
          <w:szCs w:val="36"/>
        </w:rPr>
        <w:t>市人大代表履职培训经费</w:t>
      </w:r>
    </w:p>
    <w:p>
      <w:pPr>
        <w:jc w:val="center"/>
        <w:outlineLvl w:val="0"/>
        <w:rPr>
          <w:rFonts w:ascii="方正小标宋简体" w:eastAsia="方正小标宋简体"/>
          <w:bCs/>
          <w:sz w:val="36"/>
          <w:szCs w:val="36"/>
        </w:rPr>
      </w:pPr>
      <w:bookmarkStart w:id="4" w:name="_Toc30131"/>
      <w:r>
        <w:rPr>
          <w:rFonts w:hint="eastAsia" w:ascii="方正小标宋简体" w:eastAsia="方正小标宋简体"/>
          <w:bCs/>
          <w:sz w:val="36"/>
          <w:szCs w:val="36"/>
        </w:rPr>
        <w:t>项目支出绩效评价报告</w:t>
      </w:r>
      <w:bookmarkEnd w:id="4"/>
    </w:p>
    <w:p>
      <w:pPr>
        <w:rPr>
          <w:rFonts w:eastAsia="仿宋_GB2312"/>
          <w:b/>
          <w:bCs/>
          <w:sz w:val="28"/>
          <w:szCs w:val="28"/>
        </w:rPr>
      </w:pPr>
    </w:p>
    <w:p>
      <w:pPr>
        <w:spacing w:line="360" w:lineRule="auto"/>
        <w:ind w:firstLine="560" w:firstLineChars="200"/>
        <w:jc w:val="left"/>
        <w:rPr>
          <w:rFonts w:eastAsia="仿宋_GB2312"/>
          <w:sz w:val="28"/>
          <w:szCs w:val="28"/>
        </w:rPr>
      </w:pPr>
      <w:r>
        <w:rPr>
          <w:rFonts w:hint="eastAsia" w:eastAsia="仿宋_GB2312"/>
          <w:sz w:val="28"/>
          <w:szCs w:val="28"/>
        </w:rPr>
        <w:t>为进一步推进预算绩效管理</w:t>
      </w:r>
      <w:r>
        <w:rPr>
          <w:rFonts w:eastAsia="仿宋_GB2312"/>
          <w:sz w:val="28"/>
          <w:szCs w:val="28"/>
        </w:rPr>
        <w:t>，促进预算部门提高预算执行效率和资金使用效益。根据</w:t>
      </w:r>
      <w:r>
        <w:rPr>
          <w:rFonts w:hint="eastAsia" w:eastAsia="仿宋_GB2312"/>
          <w:sz w:val="28"/>
          <w:szCs w:val="28"/>
        </w:rPr>
        <w:t>《中共北京市委 北京市人民政府关于全面实施预算绩效管理的实施意见》（京发</w:t>
      </w:r>
      <w:r>
        <w:rPr>
          <w:rFonts w:eastAsia="仿宋_GB2312"/>
          <w:sz w:val="28"/>
          <w:szCs w:val="28"/>
        </w:rPr>
        <w:t>〔2020〕</w:t>
      </w:r>
      <w:r>
        <w:rPr>
          <w:rFonts w:hint="eastAsia" w:eastAsia="仿宋_GB2312"/>
          <w:sz w:val="28"/>
          <w:szCs w:val="28"/>
        </w:rPr>
        <w:t>1</w:t>
      </w:r>
      <w:r>
        <w:rPr>
          <w:rFonts w:eastAsia="仿宋_GB2312"/>
          <w:sz w:val="28"/>
          <w:szCs w:val="28"/>
        </w:rPr>
        <w:t>2</w:t>
      </w:r>
      <w:r>
        <w:rPr>
          <w:rFonts w:hint="eastAsia" w:eastAsia="仿宋_GB2312"/>
          <w:sz w:val="28"/>
          <w:szCs w:val="28"/>
        </w:rPr>
        <w:t>号）、</w:t>
      </w:r>
      <w:r>
        <w:rPr>
          <w:rFonts w:eastAsia="仿宋_GB2312"/>
          <w:sz w:val="28"/>
          <w:szCs w:val="28"/>
        </w:rPr>
        <w:t>《北京市项目支出绩效评价管理办法》（京财绩效〔2020〕2146号）和《北京市财政局关于</w:t>
      </w:r>
      <w:r>
        <w:rPr>
          <w:rFonts w:hint="eastAsia" w:eastAsia="仿宋_GB2312"/>
          <w:sz w:val="28"/>
          <w:szCs w:val="28"/>
        </w:rPr>
        <w:t>开展</w:t>
      </w:r>
      <w:r>
        <w:rPr>
          <w:rFonts w:eastAsia="仿宋_GB2312"/>
          <w:sz w:val="28"/>
          <w:szCs w:val="28"/>
        </w:rPr>
        <w:t>2024年</w:t>
      </w:r>
      <w:r>
        <w:rPr>
          <w:rFonts w:hint="eastAsia" w:eastAsia="仿宋_GB2312"/>
          <w:sz w:val="28"/>
          <w:szCs w:val="28"/>
        </w:rPr>
        <w:t>预算绩效管理相关工作的函</w:t>
      </w:r>
      <w:r>
        <w:rPr>
          <w:rFonts w:eastAsia="仿宋_GB2312"/>
          <w:sz w:val="28"/>
          <w:szCs w:val="28"/>
        </w:rPr>
        <w:t>》等文件规定，北京市人民代表大会常务委员会（以下简称：“市人大常委会”）委托中逸会计师事务所有限公司成立评价工作组，对市人大常委会“</w:t>
      </w:r>
      <w:r>
        <w:rPr>
          <w:rFonts w:hint="eastAsia" w:eastAsia="仿宋_GB2312"/>
          <w:sz w:val="28"/>
          <w:szCs w:val="28"/>
        </w:rPr>
        <w:t>市人大代表履职培训经费</w:t>
      </w:r>
      <w:r>
        <w:rPr>
          <w:rFonts w:eastAsia="仿宋_GB2312"/>
          <w:sz w:val="28"/>
          <w:szCs w:val="28"/>
        </w:rPr>
        <w:t>”项目的绩效情况实施评价，形成本绩效评价报告。</w:t>
      </w:r>
    </w:p>
    <w:p>
      <w:pPr>
        <w:spacing w:line="600" w:lineRule="exact"/>
        <w:ind w:firstLine="562" w:firstLineChars="200"/>
        <w:outlineLvl w:val="0"/>
        <w:rPr>
          <w:rFonts w:eastAsia="仿宋_GB2312"/>
          <w:b/>
          <w:kern w:val="0"/>
          <w:sz w:val="28"/>
          <w:szCs w:val="28"/>
        </w:rPr>
      </w:pPr>
      <w:bookmarkStart w:id="5" w:name="_Toc3037"/>
      <w:r>
        <w:rPr>
          <w:rFonts w:eastAsia="仿宋_GB2312"/>
          <w:b/>
          <w:kern w:val="0"/>
          <w:sz w:val="28"/>
          <w:szCs w:val="28"/>
        </w:rPr>
        <w:t>一、基本情况</w:t>
      </w:r>
      <w:bookmarkEnd w:id="5"/>
    </w:p>
    <w:p>
      <w:pPr>
        <w:spacing w:line="600" w:lineRule="exact"/>
        <w:ind w:firstLine="560" w:firstLineChars="200"/>
        <w:outlineLvl w:val="1"/>
        <w:rPr>
          <w:rFonts w:eastAsia="仿宋_GB2312"/>
          <w:kern w:val="0"/>
          <w:sz w:val="28"/>
          <w:szCs w:val="28"/>
        </w:rPr>
      </w:pPr>
      <w:bookmarkStart w:id="6" w:name="_Toc4474"/>
      <w:r>
        <w:rPr>
          <w:rFonts w:eastAsia="仿宋_GB2312"/>
          <w:kern w:val="0"/>
          <w:sz w:val="28"/>
          <w:szCs w:val="28"/>
        </w:rPr>
        <w:t>（一）项目概况</w:t>
      </w:r>
      <w:bookmarkEnd w:id="6"/>
    </w:p>
    <w:p>
      <w:pPr>
        <w:numPr>
          <w:ilvl w:val="0"/>
          <w:numId w:val="1"/>
        </w:numPr>
        <w:spacing w:line="360" w:lineRule="auto"/>
        <w:ind w:left="0" w:firstLine="560" w:firstLineChars="200"/>
        <w:outlineLvl w:val="0"/>
        <w:rPr>
          <w:rFonts w:eastAsia="仿宋_GB2312"/>
          <w:kern w:val="0"/>
          <w:sz w:val="28"/>
          <w:szCs w:val="28"/>
        </w:rPr>
      </w:pPr>
      <w:bookmarkStart w:id="7" w:name="_Toc24260"/>
      <w:r>
        <w:rPr>
          <w:rFonts w:eastAsia="仿宋_GB2312"/>
          <w:kern w:val="0"/>
          <w:sz w:val="28"/>
          <w:szCs w:val="28"/>
        </w:rPr>
        <w:t>项目背景及主要内容</w:t>
      </w:r>
      <w:bookmarkEnd w:id="7"/>
    </w:p>
    <w:p>
      <w:pPr>
        <w:spacing w:line="360" w:lineRule="auto"/>
        <w:ind w:firstLine="560" w:firstLineChars="200"/>
        <w:jc w:val="left"/>
        <w:rPr>
          <w:rFonts w:eastAsia="仿宋_GB2312"/>
          <w:sz w:val="28"/>
          <w:szCs w:val="28"/>
        </w:rPr>
      </w:pPr>
      <w:r>
        <w:rPr>
          <w:rFonts w:hint="eastAsia" w:eastAsia="仿宋_GB2312"/>
          <w:sz w:val="28"/>
          <w:szCs w:val="28"/>
        </w:rPr>
        <w:t>依据《中华人民共和国全国人民代表大会和地方各级人民代表大会代表法》，代表应当履行“加强履职学习”的义务，为做好代表履职学习工作，北京市人大常委会代表工作委员会依托全国人大北京培训基地和中共北京市委党校，2</w:t>
      </w:r>
      <w:r>
        <w:rPr>
          <w:rFonts w:eastAsia="仿宋_GB2312"/>
          <w:sz w:val="28"/>
          <w:szCs w:val="28"/>
        </w:rPr>
        <w:t>023</w:t>
      </w:r>
      <w:r>
        <w:rPr>
          <w:rFonts w:hint="eastAsia" w:eastAsia="仿宋_GB2312"/>
          <w:sz w:val="28"/>
          <w:szCs w:val="28"/>
        </w:rPr>
        <w:t>年举办4 期代表履职学习轮训班，组织358 名市人大代表和 88 人次市、区人大常委会工作人员参加集中学习，使代表能够比较系统地学习党的理论、方针政策和学习领导重要讲话以及法律法规，了解人民代表大会制度，了解本市重要工作情况，掌握履行代表职务所必备的知识，掌握履行职务的方式方法，提高履职能力。</w:t>
      </w:r>
    </w:p>
    <w:p>
      <w:pPr>
        <w:spacing w:line="360" w:lineRule="auto"/>
        <w:ind w:firstLine="560" w:firstLineChars="200"/>
        <w:jc w:val="left"/>
        <w:rPr>
          <w:rFonts w:eastAsia="仿宋_GB2312"/>
          <w:sz w:val="28"/>
          <w:szCs w:val="28"/>
        </w:rPr>
      </w:pPr>
      <w:r>
        <w:rPr>
          <w:rFonts w:hint="eastAsia" w:eastAsia="仿宋_GB2312"/>
          <w:sz w:val="28"/>
          <w:szCs w:val="28"/>
        </w:rPr>
        <w:t>2023年度</w:t>
      </w:r>
      <w:r>
        <w:rPr>
          <w:rFonts w:eastAsia="仿宋_GB2312"/>
          <w:sz w:val="28"/>
          <w:szCs w:val="28"/>
        </w:rPr>
        <w:t>：</w:t>
      </w:r>
      <w:r>
        <w:rPr>
          <w:rFonts w:hint="eastAsia" w:eastAsia="仿宋_GB2312"/>
          <w:sz w:val="28"/>
          <w:szCs w:val="28"/>
        </w:rPr>
        <w:t>共举办4期代表履职学习轮训班，第一期：5 月 29 日至 6 月 2 日；第二期：6 月 26 日至 6 月 30 日；第三期：7 月 24 日至 7 月 28 日。第一至三期学习班安排在全国人大北京培训基地。第四期：8 月 28 日至 9 月 1 日，安排在市委党校。除四期现场学习班外，同时为代表开辟北京人大网上课堂的线上学习平台。</w:t>
      </w:r>
    </w:p>
    <w:p>
      <w:pPr>
        <w:numPr>
          <w:ilvl w:val="0"/>
          <w:numId w:val="1"/>
        </w:numPr>
        <w:spacing w:line="360" w:lineRule="auto"/>
        <w:ind w:left="0" w:firstLine="560" w:firstLineChars="200"/>
        <w:jc w:val="left"/>
        <w:rPr>
          <w:rFonts w:eastAsia="仿宋_GB2312"/>
          <w:sz w:val="28"/>
          <w:szCs w:val="28"/>
        </w:rPr>
      </w:pPr>
      <w:r>
        <w:rPr>
          <w:rFonts w:eastAsia="仿宋_GB2312"/>
          <w:sz w:val="28"/>
          <w:szCs w:val="28"/>
        </w:rPr>
        <w:t>项目预算及资金组成</w:t>
      </w:r>
    </w:p>
    <w:p>
      <w:pPr>
        <w:spacing w:line="360" w:lineRule="auto"/>
        <w:ind w:firstLine="560" w:firstLineChars="200"/>
        <w:jc w:val="left"/>
        <w:rPr>
          <w:rFonts w:eastAsia="仿宋_GB2312"/>
          <w:sz w:val="28"/>
          <w:szCs w:val="28"/>
        </w:rPr>
      </w:pPr>
      <w:r>
        <w:rPr>
          <w:rFonts w:eastAsia="仿宋_GB2312"/>
          <w:sz w:val="28"/>
          <w:szCs w:val="28"/>
        </w:rPr>
        <w:t>根据</w:t>
      </w:r>
      <w:r>
        <w:rPr>
          <w:rFonts w:hint="eastAsia" w:eastAsia="仿宋_GB2312"/>
          <w:sz w:val="28"/>
          <w:szCs w:val="28"/>
        </w:rPr>
        <w:t>《北京市财政局关于批复北京市人民代表大会常务委员会办公厅(财务处)2023年预算的函》京财党政群指[2023]0002号，</w:t>
      </w:r>
      <w:r>
        <w:rPr>
          <w:rFonts w:eastAsia="仿宋_GB2312"/>
          <w:sz w:val="28"/>
          <w:szCs w:val="28"/>
        </w:rPr>
        <w:t>市财政局批复</w:t>
      </w:r>
      <w:r>
        <w:rPr>
          <w:rFonts w:hint="eastAsia" w:eastAsia="仿宋_GB2312"/>
          <w:sz w:val="28"/>
          <w:szCs w:val="28"/>
        </w:rPr>
        <w:t>市人大代表履职培训经费</w:t>
      </w:r>
      <w:r>
        <w:rPr>
          <w:rFonts w:eastAsia="仿宋_GB2312"/>
          <w:sz w:val="28"/>
          <w:szCs w:val="28"/>
        </w:rPr>
        <w:t>项目预算资</w:t>
      </w:r>
      <w:r>
        <w:rPr>
          <w:rFonts w:hint="eastAsia" w:eastAsia="仿宋_GB2312"/>
          <w:sz w:val="28"/>
          <w:szCs w:val="28"/>
        </w:rPr>
        <w:t>金132.00</w:t>
      </w:r>
      <w:r>
        <w:rPr>
          <w:rFonts w:eastAsia="仿宋_GB2312"/>
          <w:sz w:val="28"/>
          <w:szCs w:val="28"/>
        </w:rPr>
        <w:t>万元，均为财政资金。</w:t>
      </w:r>
    </w:p>
    <w:p>
      <w:pPr>
        <w:spacing w:line="360" w:lineRule="auto"/>
        <w:ind w:firstLine="560" w:firstLineChars="200"/>
        <w:jc w:val="left"/>
        <w:rPr>
          <w:rFonts w:eastAsia="仿宋_GB2312"/>
          <w:sz w:val="28"/>
          <w:szCs w:val="28"/>
        </w:rPr>
      </w:pPr>
      <w:r>
        <w:rPr>
          <w:rFonts w:eastAsia="仿宋_GB2312"/>
          <w:sz w:val="28"/>
          <w:szCs w:val="28"/>
        </w:rPr>
        <w:t>《</w:t>
      </w:r>
      <w:r>
        <w:rPr>
          <w:rFonts w:hint="eastAsia" w:eastAsia="仿宋_GB2312"/>
          <w:sz w:val="28"/>
          <w:szCs w:val="28"/>
        </w:rPr>
        <w:t>北京市财政局关于核减北京市人民代表大会常务委员会办公厅(财务处)2023年经费预算的函》</w:t>
      </w:r>
      <w:r>
        <w:rPr>
          <w:rFonts w:eastAsia="仿宋_GB2312"/>
          <w:sz w:val="28"/>
          <w:szCs w:val="28"/>
        </w:rPr>
        <w:t>（京财党政群指〔202</w:t>
      </w:r>
      <w:r>
        <w:rPr>
          <w:rFonts w:hint="eastAsia" w:eastAsia="仿宋_GB2312"/>
          <w:sz w:val="28"/>
          <w:szCs w:val="28"/>
        </w:rPr>
        <w:t>3</w:t>
      </w:r>
      <w:r>
        <w:rPr>
          <w:rFonts w:eastAsia="仿宋_GB2312"/>
          <w:sz w:val="28"/>
          <w:szCs w:val="28"/>
        </w:rPr>
        <w:t>〕</w:t>
      </w:r>
      <w:r>
        <w:rPr>
          <w:rFonts w:hint="eastAsia" w:eastAsia="仿宋_GB2312"/>
          <w:sz w:val="28"/>
          <w:szCs w:val="28"/>
        </w:rPr>
        <w:t>1937</w:t>
      </w:r>
      <w:r>
        <w:rPr>
          <w:rFonts w:eastAsia="仿宋_GB2312"/>
          <w:sz w:val="28"/>
          <w:szCs w:val="28"/>
        </w:rPr>
        <w:t>号），市财政局批复</w:t>
      </w:r>
      <w:r>
        <w:rPr>
          <w:rFonts w:hint="eastAsia" w:eastAsia="仿宋_GB2312"/>
          <w:sz w:val="28"/>
          <w:szCs w:val="28"/>
        </w:rPr>
        <w:t>市人大代表履职培训经费</w:t>
      </w:r>
      <w:r>
        <w:rPr>
          <w:rFonts w:eastAsia="仿宋_GB2312"/>
          <w:sz w:val="28"/>
          <w:szCs w:val="28"/>
        </w:rPr>
        <w:t>项目预算资</w:t>
      </w:r>
      <w:r>
        <w:rPr>
          <w:rFonts w:hint="eastAsia" w:eastAsia="仿宋_GB2312"/>
          <w:sz w:val="28"/>
          <w:szCs w:val="28"/>
        </w:rPr>
        <w:t>金125.75</w:t>
      </w:r>
      <w:r>
        <w:rPr>
          <w:rFonts w:eastAsia="仿宋_GB2312"/>
          <w:sz w:val="28"/>
          <w:szCs w:val="28"/>
        </w:rPr>
        <w:t>万元，均为财政资金。</w:t>
      </w:r>
    </w:p>
    <w:p>
      <w:pPr>
        <w:spacing w:line="360" w:lineRule="auto"/>
        <w:ind w:firstLine="560" w:firstLineChars="200"/>
      </w:pPr>
      <w:r>
        <w:rPr>
          <w:rFonts w:hint="eastAsia" w:eastAsia="仿宋_GB2312"/>
          <w:sz w:val="28"/>
          <w:szCs w:val="28"/>
        </w:rPr>
        <w:t>本项目年初预算批复132万元，调整后预算金额125.75万元，均为财政拨款，其中培训费80.85万元，委托业务费35万元，办公费3.6万元，劳务费6.3万元。</w:t>
      </w:r>
    </w:p>
    <w:p>
      <w:pPr>
        <w:numPr>
          <w:ilvl w:val="0"/>
          <w:numId w:val="1"/>
        </w:numPr>
        <w:spacing w:line="360" w:lineRule="auto"/>
        <w:ind w:left="0" w:firstLine="560" w:firstLineChars="200"/>
        <w:jc w:val="left"/>
        <w:rPr>
          <w:rFonts w:eastAsia="仿宋_GB2312"/>
          <w:sz w:val="28"/>
          <w:szCs w:val="28"/>
        </w:rPr>
      </w:pPr>
      <w:r>
        <w:rPr>
          <w:rFonts w:eastAsia="仿宋_GB2312"/>
          <w:sz w:val="28"/>
          <w:szCs w:val="28"/>
        </w:rPr>
        <w:t>项目预算执行情况</w:t>
      </w:r>
    </w:p>
    <w:p>
      <w:pPr>
        <w:spacing w:line="360" w:lineRule="auto"/>
        <w:ind w:firstLine="560" w:firstLineChars="200"/>
        <w:jc w:val="left"/>
        <w:rPr>
          <w:rFonts w:eastAsia="仿宋_GB2312"/>
          <w:sz w:val="28"/>
          <w:szCs w:val="28"/>
        </w:rPr>
      </w:pPr>
      <w:r>
        <w:rPr>
          <w:rFonts w:eastAsia="仿宋_GB2312"/>
          <w:sz w:val="28"/>
          <w:szCs w:val="28"/>
        </w:rPr>
        <w:t>根据预算批复情况，本项目的市人大常委会预算为</w:t>
      </w:r>
      <w:r>
        <w:rPr>
          <w:rFonts w:hint="eastAsia" w:eastAsia="仿宋_GB2312"/>
          <w:sz w:val="28"/>
          <w:szCs w:val="28"/>
        </w:rPr>
        <w:t>125.75</w:t>
      </w:r>
      <w:r>
        <w:rPr>
          <w:rFonts w:eastAsia="仿宋_GB2312"/>
          <w:sz w:val="28"/>
          <w:szCs w:val="28"/>
        </w:rPr>
        <w:t>万元，</w:t>
      </w:r>
      <w:r>
        <w:rPr>
          <w:rFonts w:hint="eastAsia" w:eastAsia="仿宋_GB2312"/>
          <w:sz w:val="28"/>
          <w:szCs w:val="28"/>
        </w:rPr>
        <w:t>2023年</w:t>
      </w:r>
      <w:r>
        <w:rPr>
          <w:rFonts w:eastAsia="仿宋_GB2312"/>
          <w:sz w:val="28"/>
          <w:szCs w:val="28"/>
        </w:rPr>
        <w:t>实际支出</w:t>
      </w:r>
      <w:r>
        <w:rPr>
          <w:rFonts w:hint="eastAsia" w:eastAsia="仿宋_GB2312"/>
          <w:sz w:val="28"/>
          <w:szCs w:val="28"/>
        </w:rPr>
        <w:t>125.75</w:t>
      </w:r>
      <w:r>
        <w:rPr>
          <w:rFonts w:eastAsia="仿宋_GB2312"/>
          <w:sz w:val="28"/>
          <w:szCs w:val="28"/>
        </w:rPr>
        <w:t>万元，预算执行率为100%。</w:t>
      </w:r>
    </w:p>
    <w:p>
      <w:pPr>
        <w:spacing w:line="600" w:lineRule="exact"/>
        <w:ind w:firstLine="560" w:firstLineChars="200"/>
        <w:outlineLvl w:val="1"/>
        <w:rPr>
          <w:rFonts w:eastAsia="仿宋_GB2312"/>
          <w:kern w:val="0"/>
          <w:sz w:val="28"/>
          <w:szCs w:val="28"/>
        </w:rPr>
      </w:pPr>
      <w:bookmarkStart w:id="8" w:name="_Toc31030"/>
      <w:r>
        <w:rPr>
          <w:rFonts w:eastAsia="仿宋_GB2312"/>
          <w:kern w:val="0"/>
          <w:sz w:val="28"/>
          <w:szCs w:val="28"/>
        </w:rPr>
        <w:t>（二）项目绩效目标</w:t>
      </w:r>
      <w:bookmarkEnd w:id="8"/>
    </w:p>
    <w:p>
      <w:pPr>
        <w:numPr>
          <w:ilvl w:val="0"/>
          <w:numId w:val="2"/>
        </w:numPr>
        <w:spacing w:line="360" w:lineRule="auto"/>
        <w:ind w:firstLine="140" w:firstLineChars="50"/>
        <w:rPr>
          <w:rFonts w:eastAsia="仿宋_GB2312"/>
          <w:kern w:val="0"/>
          <w:sz w:val="28"/>
          <w:szCs w:val="28"/>
        </w:rPr>
      </w:pPr>
      <w:r>
        <w:rPr>
          <w:rFonts w:eastAsia="仿宋_GB2312"/>
          <w:kern w:val="0"/>
          <w:sz w:val="28"/>
          <w:szCs w:val="28"/>
        </w:rPr>
        <w:t>项目总体年度预算绩效目标</w:t>
      </w:r>
    </w:p>
    <w:p>
      <w:pPr>
        <w:spacing w:line="360" w:lineRule="auto"/>
        <w:ind w:firstLine="560" w:firstLineChars="200"/>
        <w:jc w:val="left"/>
        <w:rPr>
          <w:rFonts w:eastAsia="仿宋_GB2312"/>
          <w:sz w:val="28"/>
          <w:szCs w:val="28"/>
        </w:rPr>
      </w:pPr>
      <w:r>
        <w:rPr>
          <w:rFonts w:hint="eastAsia" w:eastAsia="仿宋_GB2312"/>
          <w:sz w:val="28"/>
          <w:szCs w:val="28"/>
        </w:rPr>
        <w:t>市人大代表履职培训经费</w:t>
      </w:r>
      <w:r>
        <w:rPr>
          <w:rFonts w:eastAsia="仿宋_GB2312"/>
          <w:sz w:val="28"/>
          <w:szCs w:val="28"/>
        </w:rPr>
        <w:t>项目总体绩效目标是：</w:t>
      </w:r>
      <w:r>
        <w:rPr>
          <w:rFonts w:hint="eastAsia" w:eastAsia="仿宋_GB2312"/>
          <w:sz w:val="28"/>
          <w:szCs w:val="28"/>
        </w:rPr>
        <w:t>组织市人大代表进行培训，使代表能够比较系统地学习党的理论、方针政策、学习领导重要讲话和法律法规，了解人民代表大会制度，了解本市重要工作情况，掌握履行代表职务所必备的知识，掌握履行职务的方式方法，提高履职能力。</w:t>
      </w:r>
    </w:p>
    <w:p>
      <w:pPr>
        <w:numPr>
          <w:ilvl w:val="0"/>
          <w:numId w:val="2"/>
        </w:numPr>
        <w:spacing w:line="360" w:lineRule="auto"/>
        <w:ind w:firstLine="140" w:firstLineChars="50"/>
        <w:jc w:val="left"/>
        <w:rPr>
          <w:rFonts w:eastAsia="仿宋_GB2312"/>
          <w:sz w:val="28"/>
          <w:szCs w:val="28"/>
        </w:rPr>
      </w:pPr>
      <w:r>
        <w:rPr>
          <w:rFonts w:eastAsia="仿宋_GB2312"/>
          <w:sz w:val="28"/>
          <w:szCs w:val="28"/>
        </w:rPr>
        <w:t>项目具体目标</w:t>
      </w:r>
    </w:p>
    <w:p>
      <w:pPr>
        <w:spacing w:line="360" w:lineRule="auto"/>
        <w:ind w:firstLine="560" w:firstLineChars="200"/>
        <w:jc w:val="left"/>
        <w:rPr>
          <w:rFonts w:eastAsia="仿宋_GB2312"/>
          <w:sz w:val="28"/>
          <w:szCs w:val="28"/>
        </w:rPr>
      </w:pPr>
      <w:r>
        <w:rPr>
          <w:rFonts w:hint="eastAsia" w:eastAsia="仿宋_GB2312"/>
          <w:sz w:val="28"/>
          <w:szCs w:val="28"/>
        </w:rPr>
        <w:t>2023年</w:t>
      </w:r>
      <w:r>
        <w:rPr>
          <w:rFonts w:eastAsia="仿宋_GB2312"/>
          <w:sz w:val="28"/>
          <w:szCs w:val="28"/>
        </w:rPr>
        <w:t>“</w:t>
      </w:r>
      <w:r>
        <w:rPr>
          <w:rFonts w:hint="eastAsia" w:eastAsia="仿宋_GB2312"/>
          <w:sz w:val="28"/>
          <w:szCs w:val="28"/>
        </w:rPr>
        <w:t>市人大代表履职培训经费</w:t>
      </w:r>
      <w:r>
        <w:rPr>
          <w:rFonts w:eastAsia="仿宋_GB2312"/>
          <w:sz w:val="28"/>
          <w:szCs w:val="28"/>
        </w:rPr>
        <w:t>”项目绩效指标主要为：</w:t>
      </w:r>
    </w:p>
    <w:p>
      <w:pPr>
        <w:spacing w:line="360" w:lineRule="auto"/>
        <w:ind w:firstLine="560" w:firstLineChars="200"/>
        <w:jc w:val="left"/>
        <w:rPr>
          <w:rFonts w:eastAsia="仿宋_GB2312"/>
          <w:sz w:val="28"/>
          <w:szCs w:val="28"/>
        </w:rPr>
      </w:pPr>
      <w:r>
        <w:rPr>
          <w:rFonts w:eastAsia="仿宋_GB2312"/>
          <w:sz w:val="28"/>
          <w:szCs w:val="28"/>
        </w:rPr>
        <w:t>数量指标：</w:t>
      </w:r>
      <w:r>
        <w:rPr>
          <w:rFonts w:hint="eastAsia" w:eastAsia="仿宋_GB2312"/>
          <w:sz w:val="28"/>
          <w:szCs w:val="28"/>
        </w:rPr>
        <w:t>代表履职学习（网上课堂）1次</w:t>
      </w:r>
      <w:r>
        <w:rPr>
          <w:rFonts w:eastAsia="仿宋_GB2312"/>
          <w:sz w:val="28"/>
          <w:szCs w:val="28"/>
        </w:rPr>
        <w:t>，</w:t>
      </w:r>
      <w:r>
        <w:rPr>
          <w:rFonts w:hint="eastAsia" w:eastAsia="仿宋_GB2312"/>
          <w:sz w:val="28"/>
          <w:szCs w:val="28"/>
        </w:rPr>
        <w:t>实体班培训4次，其中组织安排全国人大北京培训基地培训</w:t>
      </w:r>
      <w:r>
        <w:rPr>
          <w:rFonts w:eastAsia="仿宋_GB2312"/>
          <w:sz w:val="28"/>
          <w:szCs w:val="28"/>
        </w:rPr>
        <w:t>3</w:t>
      </w:r>
      <w:r>
        <w:rPr>
          <w:rFonts w:hint="eastAsia" w:eastAsia="仿宋_GB2312"/>
          <w:sz w:val="28"/>
          <w:szCs w:val="28"/>
        </w:rPr>
        <w:t>次，安排市委党校培训</w:t>
      </w:r>
      <w:r>
        <w:rPr>
          <w:rFonts w:eastAsia="仿宋_GB2312"/>
          <w:sz w:val="28"/>
          <w:szCs w:val="28"/>
        </w:rPr>
        <w:t>1</w:t>
      </w:r>
      <w:r>
        <w:rPr>
          <w:rFonts w:hint="eastAsia" w:eastAsia="仿宋_GB2312"/>
          <w:sz w:val="28"/>
          <w:szCs w:val="28"/>
        </w:rPr>
        <w:t>次</w:t>
      </w:r>
      <w:r>
        <w:rPr>
          <w:rFonts w:eastAsia="仿宋_GB2312"/>
          <w:sz w:val="28"/>
          <w:szCs w:val="28"/>
        </w:rPr>
        <w:t>；</w:t>
      </w:r>
    </w:p>
    <w:p>
      <w:pPr>
        <w:spacing w:line="360" w:lineRule="auto"/>
        <w:ind w:firstLine="560" w:firstLineChars="200"/>
        <w:jc w:val="left"/>
        <w:rPr>
          <w:rFonts w:eastAsia="仿宋_GB2312"/>
          <w:sz w:val="28"/>
          <w:szCs w:val="28"/>
        </w:rPr>
      </w:pPr>
      <w:r>
        <w:rPr>
          <w:rFonts w:eastAsia="仿宋_GB2312"/>
          <w:sz w:val="28"/>
          <w:szCs w:val="28"/>
        </w:rPr>
        <w:t>质量指标：</w:t>
      </w:r>
      <w:r>
        <w:rPr>
          <w:rFonts w:hint="eastAsia" w:eastAsia="仿宋_GB2312"/>
          <w:sz w:val="28"/>
          <w:szCs w:val="28"/>
        </w:rPr>
        <w:t>办好代表培训班，通过培训增强代表的履职底气、履职</w:t>
      </w:r>
    </w:p>
    <w:p>
      <w:pPr>
        <w:spacing w:line="360" w:lineRule="auto"/>
        <w:jc w:val="left"/>
        <w:rPr>
          <w:rFonts w:eastAsia="仿宋_GB2312"/>
          <w:sz w:val="28"/>
          <w:szCs w:val="28"/>
        </w:rPr>
      </w:pPr>
      <w:r>
        <w:rPr>
          <w:rFonts w:hint="eastAsia" w:eastAsia="仿宋_GB2312"/>
          <w:sz w:val="28"/>
          <w:szCs w:val="28"/>
        </w:rPr>
        <w:t>本领和履职素质，切实提高代表的履职综合能力。</w:t>
      </w:r>
    </w:p>
    <w:p>
      <w:pPr>
        <w:spacing w:line="360" w:lineRule="auto"/>
        <w:ind w:firstLine="560" w:firstLineChars="200"/>
        <w:jc w:val="left"/>
        <w:rPr>
          <w:rFonts w:eastAsia="仿宋_GB2312"/>
          <w:sz w:val="28"/>
          <w:szCs w:val="28"/>
        </w:rPr>
      </w:pPr>
      <w:r>
        <w:rPr>
          <w:rFonts w:eastAsia="仿宋_GB2312"/>
          <w:sz w:val="28"/>
          <w:szCs w:val="28"/>
        </w:rPr>
        <w:t>进度指标：</w:t>
      </w:r>
      <w:r>
        <w:rPr>
          <w:rFonts w:hint="eastAsia" w:eastAsia="仿宋_GB2312"/>
          <w:sz w:val="28"/>
          <w:szCs w:val="28"/>
        </w:rPr>
        <w:t>2023年</w:t>
      </w:r>
      <w:r>
        <w:rPr>
          <w:rFonts w:eastAsia="仿宋_GB2312"/>
          <w:sz w:val="28"/>
          <w:szCs w:val="28"/>
        </w:rPr>
        <w:t>完成</w:t>
      </w:r>
      <w:r>
        <w:rPr>
          <w:rFonts w:hint="eastAsia" w:eastAsia="仿宋_GB2312"/>
          <w:sz w:val="28"/>
          <w:szCs w:val="28"/>
        </w:rPr>
        <w:t>。</w:t>
      </w:r>
    </w:p>
    <w:p>
      <w:pPr>
        <w:spacing w:line="360" w:lineRule="auto"/>
        <w:ind w:firstLine="560" w:firstLineChars="200"/>
        <w:jc w:val="left"/>
        <w:rPr>
          <w:rFonts w:eastAsia="仿宋_GB2312"/>
          <w:sz w:val="28"/>
          <w:szCs w:val="28"/>
        </w:rPr>
      </w:pPr>
      <w:r>
        <w:rPr>
          <w:rFonts w:eastAsia="仿宋_GB2312"/>
          <w:sz w:val="28"/>
          <w:szCs w:val="28"/>
        </w:rPr>
        <w:t>成本指标：</w:t>
      </w:r>
      <w:r>
        <w:rPr>
          <w:rFonts w:hint="eastAsia" w:eastAsia="仿宋_GB2312"/>
          <w:sz w:val="28"/>
          <w:szCs w:val="28"/>
        </w:rPr>
        <w:t>市人大代表履职培训经费125.75</w:t>
      </w:r>
      <w:r>
        <w:rPr>
          <w:rFonts w:eastAsia="仿宋_GB2312"/>
          <w:sz w:val="28"/>
          <w:szCs w:val="28"/>
        </w:rPr>
        <w:t>万元。</w:t>
      </w:r>
    </w:p>
    <w:p>
      <w:pPr>
        <w:spacing w:line="600" w:lineRule="exact"/>
        <w:ind w:firstLine="562" w:firstLineChars="200"/>
        <w:outlineLvl w:val="0"/>
        <w:rPr>
          <w:rFonts w:eastAsia="仿宋_GB2312"/>
          <w:b/>
          <w:kern w:val="0"/>
          <w:sz w:val="28"/>
          <w:szCs w:val="28"/>
        </w:rPr>
      </w:pPr>
      <w:bookmarkStart w:id="9" w:name="_Toc3291"/>
      <w:r>
        <w:rPr>
          <w:rFonts w:eastAsia="仿宋_GB2312"/>
          <w:b/>
          <w:kern w:val="0"/>
          <w:sz w:val="28"/>
          <w:szCs w:val="28"/>
        </w:rPr>
        <w:t>二、绩效评价工作开展情况</w:t>
      </w:r>
      <w:bookmarkEnd w:id="9"/>
    </w:p>
    <w:p>
      <w:pPr>
        <w:spacing w:line="600" w:lineRule="exact"/>
        <w:ind w:firstLine="560" w:firstLineChars="200"/>
        <w:outlineLvl w:val="1"/>
        <w:rPr>
          <w:rFonts w:eastAsia="仿宋_GB2312"/>
          <w:kern w:val="0"/>
          <w:sz w:val="28"/>
          <w:szCs w:val="28"/>
        </w:rPr>
      </w:pPr>
      <w:bookmarkStart w:id="10" w:name="_Toc11053"/>
      <w:r>
        <w:rPr>
          <w:rFonts w:eastAsia="仿宋_GB2312"/>
          <w:kern w:val="0"/>
          <w:sz w:val="28"/>
          <w:szCs w:val="28"/>
        </w:rPr>
        <w:t>（一）绩效评价目的、对象和范围</w:t>
      </w:r>
      <w:bookmarkEnd w:id="10"/>
    </w:p>
    <w:p>
      <w:pPr>
        <w:spacing w:line="600" w:lineRule="exact"/>
        <w:ind w:firstLine="560" w:firstLineChars="200"/>
        <w:rPr>
          <w:rFonts w:eastAsia="仿宋_GB2312"/>
          <w:kern w:val="0"/>
          <w:sz w:val="28"/>
          <w:szCs w:val="28"/>
        </w:rPr>
      </w:pPr>
      <w:r>
        <w:rPr>
          <w:rFonts w:eastAsia="仿宋_GB2312"/>
          <w:kern w:val="0"/>
          <w:sz w:val="28"/>
          <w:szCs w:val="28"/>
        </w:rPr>
        <w:t>为全面实施预算绩效管理，建立科学、合理的项目支出绩效评价管理体系，提高财政资源配置效率和使用效益，根据《项目支出绩效评价管理办法》（财预〔2020〕2146号）、</w:t>
      </w:r>
      <w:r>
        <w:rPr>
          <w:rFonts w:eastAsia="仿宋_GB2312"/>
          <w:sz w:val="28"/>
          <w:szCs w:val="28"/>
        </w:rPr>
        <w:t>《北京市财政局关于</w:t>
      </w:r>
      <w:r>
        <w:rPr>
          <w:rFonts w:hint="eastAsia" w:eastAsia="仿宋_GB2312"/>
          <w:sz w:val="28"/>
          <w:szCs w:val="28"/>
        </w:rPr>
        <w:t>开展</w:t>
      </w:r>
      <w:r>
        <w:rPr>
          <w:rFonts w:eastAsia="仿宋_GB2312"/>
          <w:sz w:val="28"/>
          <w:szCs w:val="28"/>
        </w:rPr>
        <w:t>2024年</w:t>
      </w:r>
      <w:r>
        <w:rPr>
          <w:rFonts w:hint="eastAsia" w:eastAsia="仿宋_GB2312"/>
          <w:sz w:val="28"/>
          <w:szCs w:val="28"/>
        </w:rPr>
        <w:t>预算绩效管理相关工作的函</w:t>
      </w:r>
      <w:r>
        <w:rPr>
          <w:rFonts w:eastAsia="仿宋_GB2312"/>
          <w:sz w:val="28"/>
          <w:szCs w:val="28"/>
        </w:rPr>
        <w:t>》</w:t>
      </w:r>
      <w:r>
        <w:rPr>
          <w:rFonts w:eastAsia="仿宋_GB2312"/>
          <w:kern w:val="0"/>
          <w:sz w:val="28"/>
          <w:szCs w:val="28"/>
        </w:rPr>
        <w:t>等有关规定，通过对市人大常委会项目决策、项目过程、项目产出、项目绩效四方面进行客观、公正的综合评价，衡量和考核市级预算项目的绩效目标完成情况、产出与效果、预算管理水平等，发现问题并提出改进意见和建议。促进预算资金分配的规范化、资源配置的合理化，从而有效提高财政资金的使用效益。</w:t>
      </w:r>
    </w:p>
    <w:p>
      <w:pPr>
        <w:spacing w:line="600" w:lineRule="exact"/>
        <w:ind w:firstLine="560" w:firstLineChars="200"/>
        <w:outlineLvl w:val="1"/>
        <w:rPr>
          <w:rFonts w:eastAsia="仿宋_GB2312"/>
          <w:kern w:val="0"/>
          <w:sz w:val="28"/>
          <w:szCs w:val="28"/>
        </w:rPr>
      </w:pPr>
      <w:bookmarkStart w:id="11" w:name="_Toc32233"/>
      <w:r>
        <w:rPr>
          <w:rFonts w:eastAsia="仿宋_GB2312"/>
          <w:kern w:val="0"/>
          <w:sz w:val="28"/>
          <w:szCs w:val="28"/>
        </w:rPr>
        <w:t>（二）绩效评价原则、评价指标体系、评价方法、评价标准</w:t>
      </w:r>
      <w:bookmarkEnd w:id="11"/>
    </w:p>
    <w:p>
      <w:pPr>
        <w:spacing w:line="600" w:lineRule="exact"/>
        <w:ind w:firstLine="560" w:firstLineChars="200"/>
        <w:rPr>
          <w:rFonts w:eastAsia="仿宋_GB2312"/>
          <w:kern w:val="0"/>
          <w:sz w:val="28"/>
          <w:szCs w:val="28"/>
        </w:rPr>
      </w:pPr>
      <w:r>
        <w:rPr>
          <w:rFonts w:eastAsia="仿宋_GB2312"/>
          <w:kern w:val="0"/>
          <w:sz w:val="28"/>
          <w:szCs w:val="28"/>
        </w:rPr>
        <w:t>1.绩效评价原则</w:t>
      </w:r>
    </w:p>
    <w:p>
      <w:pPr>
        <w:spacing w:line="600" w:lineRule="exact"/>
        <w:ind w:firstLine="560" w:firstLineChars="200"/>
        <w:rPr>
          <w:rFonts w:eastAsia="仿宋_GB2312"/>
          <w:kern w:val="0"/>
          <w:sz w:val="28"/>
          <w:szCs w:val="28"/>
        </w:rPr>
      </w:pPr>
      <w:r>
        <w:rPr>
          <w:rFonts w:eastAsia="仿宋_GB2312"/>
          <w:kern w:val="0"/>
          <w:sz w:val="28"/>
          <w:szCs w:val="28"/>
        </w:rPr>
        <w:t>本次评价工作遵循科学规范原则，严格执行规定的程序，按照科学可行的要求，采用定量与定性分析相结合的方法开展绩效评价工作；公开公正原则，绩效评价应当符合真实、客观、公正的要求，依法公开并接受监督；绩效相关原则，针对具体支出及其产出绩效进行，评价结果清晰反映支出和产出绩效之间的紧密对应关系。</w:t>
      </w:r>
    </w:p>
    <w:p>
      <w:pPr>
        <w:spacing w:line="600" w:lineRule="exact"/>
        <w:ind w:firstLine="560" w:firstLineChars="200"/>
        <w:rPr>
          <w:rFonts w:eastAsia="仿宋_GB2312"/>
          <w:kern w:val="0"/>
          <w:sz w:val="28"/>
          <w:szCs w:val="28"/>
        </w:rPr>
      </w:pPr>
      <w:r>
        <w:rPr>
          <w:rFonts w:eastAsia="仿宋_GB2312"/>
          <w:kern w:val="0"/>
          <w:sz w:val="28"/>
          <w:szCs w:val="28"/>
        </w:rPr>
        <w:t>2.绩效评价指标体系及评价标准</w:t>
      </w:r>
    </w:p>
    <w:p>
      <w:pPr>
        <w:spacing w:line="600" w:lineRule="exact"/>
        <w:ind w:firstLine="560" w:firstLineChars="200"/>
        <w:rPr>
          <w:rFonts w:eastAsia="仿宋_GB2312"/>
          <w:kern w:val="0"/>
          <w:sz w:val="28"/>
          <w:szCs w:val="28"/>
        </w:rPr>
      </w:pPr>
      <w:r>
        <w:rPr>
          <w:rFonts w:eastAsia="仿宋_GB2312"/>
          <w:kern w:val="0"/>
          <w:sz w:val="28"/>
          <w:szCs w:val="28"/>
        </w:rPr>
        <w:t>根据《北京市项目支出绩效评价管理办法》（京财绩效〔2020〕2146号）和</w:t>
      </w:r>
      <w:r>
        <w:rPr>
          <w:rFonts w:eastAsia="仿宋_GB2312"/>
          <w:sz w:val="28"/>
          <w:szCs w:val="28"/>
        </w:rPr>
        <w:t>《北京市财政局</w:t>
      </w:r>
      <w:r>
        <w:rPr>
          <w:rFonts w:hint="eastAsia" w:eastAsia="仿宋_GB2312"/>
          <w:sz w:val="28"/>
          <w:szCs w:val="28"/>
        </w:rPr>
        <w:t>关于开展2024年预算绩效管理相关工作的函</w:t>
      </w:r>
      <w:r>
        <w:rPr>
          <w:rFonts w:eastAsia="仿宋_GB2312"/>
          <w:sz w:val="28"/>
          <w:szCs w:val="28"/>
        </w:rPr>
        <w:t>》</w:t>
      </w:r>
      <w:r>
        <w:rPr>
          <w:rFonts w:eastAsia="仿宋_GB2312"/>
          <w:kern w:val="0"/>
          <w:sz w:val="28"/>
          <w:szCs w:val="28"/>
        </w:rPr>
        <w:t>的相关规定，绩效评价工作组结合市人大常委会项目特点和资金使用的具体情况，以资金使用结果为导向结合专家的指导意见，设定了本次评价指标内容，重点对项目实施单位的项目决策、项目过程、项目产出和项目绩效进行综合评价。项目绩效评价指标体系的一二级指标参考北京市财政局指标体系范本进行设定，三级指标和评价标准根据项目实际执行内容分析后设定，指标体系及评价标准详见附表。</w:t>
      </w:r>
    </w:p>
    <w:p>
      <w:pPr>
        <w:spacing w:line="600" w:lineRule="exact"/>
        <w:ind w:firstLine="560" w:firstLineChars="200"/>
        <w:rPr>
          <w:rFonts w:eastAsia="仿宋_GB2312"/>
          <w:kern w:val="0"/>
          <w:sz w:val="28"/>
          <w:szCs w:val="28"/>
        </w:rPr>
      </w:pPr>
      <w:r>
        <w:rPr>
          <w:rFonts w:eastAsia="仿宋_GB2312"/>
          <w:kern w:val="0"/>
          <w:sz w:val="28"/>
          <w:szCs w:val="28"/>
        </w:rPr>
        <w:t>3.绩效评价方法</w:t>
      </w:r>
    </w:p>
    <w:p>
      <w:pPr>
        <w:spacing w:line="600" w:lineRule="exact"/>
        <w:ind w:firstLine="560" w:firstLineChars="200"/>
        <w:rPr>
          <w:rFonts w:eastAsia="仿宋_GB2312"/>
          <w:kern w:val="0"/>
          <w:sz w:val="28"/>
          <w:szCs w:val="28"/>
        </w:rPr>
      </w:pPr>
      <w:r>
        <w:rPr>
          <w:rFonts w:eastAsia="仿宋_GB2312"/>
          <w:kern w:val="0"/>
          <w:sz w:val="28"/>
          <w:szCs w:val="28"/>
        </w:rPr>
        <w:t>为了对市人大常委会</w:t>
      </w:r>
      <w:r>
        <w:rPr>
          <w:rFonts w:hint="eastAsia" w:eastAsia="仿宋_GB2312"/>
          <w:kern w:val="0"/>
          <w:sz w:val="28"/>
          <w:szCs w:val="28"/>
        </w:rPr>
        <w:t>市人大代表履职培训经费</w:t>
      </w:r>
      <w:r>
        <w:rPr>
          <w:rFonts w:eastAsia="仿宋_GB2312"/>
          <w:kern w:val="0"/>
          <w:sz w:val="28"/>
          <w:szCs w:val="28"/>
        </w:rPr>
        <w:t>项目绩效进行客观、公正的评价，本次主要采用现场评价方式，运用比较法等多种方法，对项目进行综合评价。通过查阅资料等方式，对项目进行全面细致的了解。通过对项目的经济性、效率性、效益性的比较和分析，考核项目的产出效益、产出效率和产出效果。</w:t>
      </w:r>
    </w:p>
    <w:p>
      <w:pPr>
        <w:spacing w:line="600" w:lineRule="exact"/>
        <w:ind w:firstLine="560" w:firstLineChars="200"/>
        <w:outlineLvl w:val="1"/>
        <w:rPr>
          <w:rFonts w:eastAsia="仿宋_GB2312"/>
          <w:kern w:val="0"/>
          <w:sz w:val="28"/>
          <w:szCs w:val="28"/>
        </w:rPr>
      </w:pPr>
      <w:bookmarkStart w:id="12" w:name="_Toc4176"/>
      <w:r>
        <w:rPr>
          <w:rFonts w:eastAsia="仿宋_GB2312"/>
          <w:kern w:val="0"/>
          <w:sz w:val="28"/>
          <w:szCs w:val="28"/>
        </w:rPr>
        <w:t>（三）绩效评价工作过程</w:t>
      </w:r>
      <w:bookmarkEnd w:id="12"/>
    </w:p>
    <w:p>
      <w:pPr>
        <w:spacing w:line="600" w:lineRule="exact"/>
        <w:ind w:firstLine="560" w:firstLineChars="200"/>
        <w:rPr>
          <w:rFonts w:eastAsia="仿宋_GB2312"/>
          <w:kern w:val="0"/>
          <w:sz w:val="28"/>
          <w:szCs w:val="28"/>
        </w:rPr>
      </w:pPr>
      <w:r>
        <w:rPr>
          <w:rFonts w:eastAsia="仿宋_GB2312"/>
          <w:kern w:val="0"/>
          <w:sz w:val="28"/>
          <w:szCs w:val="28"/>
        </w:rPr>
        <w:t>绩效评价工作程序主要分为准备评价阶段、实施评价阶段、评价报告撰写三个阶段。</w:t>
      </w:r>
    </w:p>
    <w:p>
      <w:pPr>
        <w:spacing w:line="600" w:lineRule="exact"/>
        <w:ind w:firstLine="560" w:firstLineChars="200"/>
        <w:rPr>
          <w:rFonts w:eastAsia="仿宋_GB2312"/>
          <w:kern w:val="0"/>
          <w:sz w:val="28"/>
          <w:szCs w:val="28"/>
        </w:rPr>
      </w:pPr>
      <w:r>
        <w:rPr>
          <w:rFonts w:eastAsia="仿宋_GB2312"/>
          <w:kern w:val="0"/>
          <w:sz w:val="28"/>
          <w:szCs w:val="28"/>
        </w:rPr>
        <w:t>1.准备评价阶段</w:t>
      </w:r>
    </w:p>
    <w:p>
      <w:pPr>
        <w:spacing w:line="600" w:lineRule="exact"/>
        <w:ind w:firstLine="560" w:firstLineChars="200"/>
        <w:rPr>
          <w:rFonts w:eastAsia="仿宋_GB2312"/>
          <w:kern w:val="0"/>
          <w:sz w:val="28"/>
          <w:szCs w:val="28"/>
        </w:rPr>
      </w:pPr>
      <w:r>
        <w:rPr>
          <w:rFonts w:eastAsia="仿宋_GB2312"/>
          <w:kern w:val="0"/>
          <w:sz w:val="28"/>
          <w:szCs w:val="28"/>
        </w:rPr>
        <w:t>组建评价工作组，初步了解预算项目整体情况。</w:t>
      </w:r>
    </w:p>
    <w:p>
      <w:pPr>
        <w:spacing w:line="600" w:lineRule="exact"/>
        <w:ind w:firstLine="560" w:firstLineChars="200"/>
        <w:rPr>
          <w:rFonts w:eastAsia="仿宋_GB2312"/>
          <w:kern w:val="0"/>
          <w:sz w:val="28"/>
          <w:szCs w:val="28"/>
        </w:rPr>
      </w:pPr>
      <w:r>
        <w:rPr>
          <w:rFonts w:eastAsia="仿宋_GB2312"/>
          <w:kern w:val="0"/>
          <w:sz w:val="28"/>
          <w:szCs w:val="28"/>
        </w:rPr>
        <w:t>一是组建绩效评价工作组。市人大常委会委托中逸会计师事务所，于202</w:t>
      </w:r>
      <w:r>
        <w:rPr>
          <w:rFonts w:hint="eastAsia" w:eastAsia="仿宋_GB2312"/>
          <w:kern w:val="0"/>
          <w:sz w:val="28"/>
          <w:szCs w:val="28"/>
        </w:rPr>
        <w:t>4</w:t>
      </w:r>
      <w:r>
        <w:rPr>
          <w:rFonts w:eastAsia="仿宋_GB2312"/>
          <w:kern w:val="0"/>
          <w:sz w:val="28"/>
          <w:szCs w:val="28"/>
        </w:rPr>
        <w:t>年4月成立了项目绩效评价工作组，工作组成员4人，设组长1人，副组长1人，在正式评价前对项目绩效评价工作人员进行了业务培训。</w:t>
      </w:r>
    </w:p>
    <w:p>
      <w:pPr>
        <w:spacing w:line="600" w:lineRule="exact"/>
        <w:ind w:firstLine="560" w:firstLineChars="200"/>
        <w:rPr>
          <w:rFonts w:eastAsia="仿宋_GB2312"/>
          <w:kern w:val="0"/>
          <w:sz w:val="28"/>
          <w:szCs w:val="28"/>
        </w:rPr>
      </w:pPr>
      <w:r>
        <w:rPr>
          <w:rFonts w:eastAsia="仿宋_GB2312"/>
          <w:kern w:val="0"/>
          <w:sz w:val="28"/>
          <w:szCs w:val="28"/>
        </w:rPr>
        <w:t>二是初步了解项目预算执行情况，组织项目单位进行现场沟通。评价工作组与市人大常委会</w:t>
      </w:r>
      <w:r>
        <w:rPr>
          <w:rFonts w:hint="eastAsia" w:eastAsia="仿宋_GB2312"/>
          <w:kern w:val="0"/>
          <w:sz w:val="28"/>
          <w:szCs w:val="28"/>
        </w:rPr>
        <w:t>代表工作委员会</w:t>
      </w:r>
      <w:r>
        <w:rPr>
          <w:rFonts w:eastAsia="仿宋_GB2312"/>
          <w:kern w:val="0"/>
          <w:sz w:val="28"/>
          <w:szCs w:val="28"/>
        </w:rPr>
        <w:t>进行初步沟通，了解项目申报及执行情况、项目效益实现情况，收集业务资料；联系</w:t>
      </w:r>
      <w:r>
        <w:rPr>
          <w:rFonts w:hint="eastAsia" w:eastAsia="仿宋_GB2312"/>
          <w:kern w:val="0"/>
          <w:sz w:val="28"/>
          <w:szCs w:val="28"/>
        </w:rPr>
        <w:t>代表工作委员会</w:t>
      </w:r>
      <w:r>
        <w:rPr>
          <w:rFonts w:eastAsia="仿宋_GB2312"/>
          <w:kern w:val="0"/>
          <w:sz w:val="28"/>
          <w:szCs w:val="28"/>
        </w:rPr>
        <w:t>工作人员，针对专家评价重点、评价工作的时间进度、资料如何准备进行讲解，协助做好相关工作。</w:t>
      </w:r>
    </w:p>
    <w:p>
      <w:pPr>
        <w:spacing w:line="600" w:lineRule="exact"/>
        <w:ind w:firstLine="560" w:firstLineChars="200"/>
        <w:rPr>
          <w:rFonts w:eastAsia="仿宋_GB2312"/>
          <w:kern w:val="0"/>
          <w:sz w:val="28"/>
          <w:szCs w:val="28"/>
        </w:rPr>
      </w:pPr>
      <w:r>
        <w:rPr>
          <w:rFonts w:eastAsia="仿宋_GB2312"/>
          <w:kern w:val="0"/>
          <w:sz w:val="28"/>
          <w:szCs w:val="28"/>
        </w:rPr>
        <w:t>2.现场核查情况</w:t>
      </w:r>
    </w:p>
    <w:p>
      <w:pPr>
        <w:spacing w:line="600" w:lineRule="exact"/>
        <w:ind w:firstLine="560" w:firstLineChars="200"/>
        <w:rPr>
          <w:rFonts w:eastAsia="仿宋_GB2312"/>
          <w:kern w:val="0"/>
          <w:sz w:val="28"/>
          <w:szCs w:val="28"/>
        </w:rPr>
      </w:pPr>
      <w:r>
        <w:rPr>
          <w:rFonts w:eastAsia="仿宋_GB2312"/>
          <w:kern w:val="0"/>
          <w:sz w:val="28"/>
          <w:szCs w:val="28"/>
        </w:rPr>
        <w:t>（1）收集整理资料，进行初步审核。了解绩效目标设立及完成情况，评价工作组详细了解绩效目标的实施过程和取得的成果，并对相关数据和成果与绩效目标进行核对。评价工作组对提交的项目绩效报告及基础资料进行了初步审核。</w:t>
      </w:r>
    </w:p>
    <w:p>
      <w:pPr>
        <w:spacing w:line="600" w:lineRule="exact"/>
        <w:ind w:firstLine="560" w:firstLineChars="200"/>
        <w:rPr>
          <w:rFonts w:eastAsia="仿宋_GB2312"/>
          <w:kern w:val="0"/>
          <w:sz w:val="28"/>
          <w:szCs w:val="28"/>
        </w:rPr>
      </w:pPr>
      <w:r>
        <w:rPr>
          <w:rFonts w:eastAsia="仿宋_GB2312"/>
          <w:kern w:val="0"/>
          <w:sz w:val="28"/>
          <w:szCs w:val="28"/>
        </w:rPr>
        <w:t>（2）资料分析，形成工作底稿。在取得资料的基础上，结合初期收集资料情况，对资料进一步核实、整理，对发现的项目问题进行总结。</w:t>
      </w:r>
    </w:p>
    <w:p>
      <w:pPr>
        <w:spacing w:line="600" w:lineRule="exact"/>
        <w:ind w:firstLine="560" w:firstLineChars="200"/>
        <w:rPr>
          <w:rFonts w:eastAsia="仿宋_GB2312"/>
          <w:kern w:val="0"/>
          <w:sz w:val="28"/>
          <w:szCs w:val="28"/>
        </w:rPr>
      </w:pPr>
      <w:r>
        <w:rPr>
          <w:rFonts w:eastAsia="仿宋_GB2312"/>
          <w:kern w:val="0"/>
          <w:sz w:val="28"/>
          <w:szCs w:val="28"/>
        </w:rPr>
        <w:t>3.资料信息汇总</w:t>
      </w:r>
    </w:p>
    <w:p>
      <w:pPr>
        <w:spacing w:line="600" w:lineRule="exact"/>
        <w:ind w:firstLine="560" w:firstLineChars="200"/>
        <w:rPr>
          <w:rFonts w:eastAsia="仿宋_GB2312"/>
          <w:kern w:val="0"/>
          <w:sz w:val="28"/>
          <w:szCs w:val="28"/>
        </w:rPr>
      </w:pPr>
      <w:r>
        <w:rPr>
          <w:rFonts w:eastAsia="仿宋_GB2312"/>
          <w:kern w:val="0"/>
          <w:sz w:val="28"/>
          <w:szCs w:val="28"/>
        </w:rPr>
        <w:t>评价工作组在前期资料整理基础上，按照评价体系内容和评价重点，将项目资料进行分类整理，扫描纸质资料转化为电子版档案，形成专家资料手册，供专家审阅。</w:t>
      </w:r>
    </w:p>
    <w:p>
      <w:pPr>
        <w:spacing w:line="600" w:lineRule="exact"/>
        <w:ind w:firstLine="560" w:firstLineChars="200"/>
        <w:rPr>
          <w:rFonts w:eastAsia="仿宋_GB2312"/>
          <w:kern w:val="0"/>
          <w:sz w:val="28"/>
          <w:szCs w:val="28"/>
        </w:rPr>
      </w:pPr>
      <w:r>
        <w:rPr>
          <w:rFonts w:eastAsia="仿宋_GB2312"/>
          <w:kern w:val="0"/>
          <w:sz w:val="28"/>
          <w:szCs w:val="28"/>
        </w:rPr>
        <w:t>4.评价分析</w:t>
      </w:r>
    </w:p>
    <w:p>
      <w:pPr>
        <w:spacing w:line="600" w:lineRule="exact"/>
        <w:ind w:firstLine="560" w:firstLineChars="200"/>
        <w:rPr>
          <w:rFonts w:eastAsia="仿宋_GB2312"/>
          <w:kern w:val="0"/>
          <w:sz w:val="28"/>
          <w:szCs w:val="28"/>
        </w:rPr>
      </w:pPr>
      <w:r>
        <w:rPr>
          <w:rFonts w:eastAsia="仿宋_GB2312"/>
          <w:kern w:val="0"/>
          <w:sz w:val="28"/>
          <w:szCs w:val="28"/>
        </w:rPr>
        <w:t>评价工作组遴选5名专家，其中：管理专家</w:t>
      </w:r>
      <w:r>
        <w:rPr>
          <w:rFonts w:hint="eastAsia" w:eastAsia="仿宋_GB2312"/>
          <w:kern w:val="0"/>
          <w:sz w:val="28"/>
          <w:szCs w:val="28"/>
        </w:rPr>
        <w:t>1</w:t>
      </w:r>
      <w:r>
        <w:rPr>
          <w:rFonts w:eastAsia="仿宋_GB2312"/>
          <w:kern w:val="0"/>
          <w:sz w:val="28"/>
          <w:szCs w:val="28"/>
        </w:rPr>
        <w:t>名，业务专家</w:t>
      </w:r>
      <w:r>
        <w:rPr>
          <w:rFonts w:hint="eastAsia" w:eastAsia="仿宋_GB2312"/>
          <w:kern w:val="0"/>
          <w:sz w:val="28"/>
          <w:szCs w:val="28"/>
        </w:rPr>
        <w:t>2</w:t>
      </w:r>
      <w:r>
        <w:rPr>
          <w:rFonts w:eastAsia="仿宋_GB2312"/>
          <w:kern w:val="0"/>
          <w:sz w:val="28"/>
          <w:szCs w:val="28"/>
        </w:rPr>
        <w:t>名，财务专家</w:t>
      </w:r>
      <w:r>
        <w:rPr>
          <w:rFonts w:hint="eastAsia" w:eastAsia="仿宋_GB2312"/>
          <w:kern w:val="0"/>
          <w:sz w:val="28"/>
          <w:szCs w:val="28"/>
        </w:rPr>
        <w:t>2</w:t>
      </w:r>
      <w:r>
        <w:rPr>
          <w:rFonts w:eastAsia="仿宋_GB2312"/>
          <w:kern w:val="0"/>
          <w:sz w:val="28"/>
          <w:szCs w:val="28"/>
        </w:rPr>
        <w:t>名，成立评价专家组，于2024年5月</w:t>
      </w:r>
      <w:r>
        <w:rPr>
          <w:rFonts w:hint="eastAsia" w:eastAsia="仿宋_GB2312"/>
          <w:kern w:val="0"/>
          <w:sz w:val="28"/>
          <w:szCs w:val="28"/>
        </w:rPr>
        <w:t>16</w:t>
      </w:r>
      <w:r>
        <w:rPr>
          <w:rFonts w:eastAsia="仿宋_GB2312"/>
          <w:kern w:val="0"/>
          <w:sz w:val="28"/>
          <w:szCs w:val="28"/>
        </w:rPr>
        <w:t>日召开了专家评价会。</w:t>
      </w:r>
    </w:p>
    <w:p>
      <w:pPr>
        <w:spacing w:line="600" w:lineRule="exact"/>
        <w:ind w:firstLine="560" w:firstLineChars="200"/>
        <w:rPr>
          <w:rFonts w:eastAsia="仿宋_GB2312"/>
          <w:kern w:val="0"/>
          <w:sz w:val="28"/>
          <w:szCs w:val="28"/>
        </w:rPr>
      </w:pPr>
      <w:r>
        <w:rPr>
          <w:rFonts w:eastAsia="仿宋_GB2312"/>
          <w:kern w:val="0"/>
          <w:sz w:val="28"/>
          <w:szCs w:val="28"/>
        </w:rPr>
        <w:t>专家评价会由1名</w:t>
      </w:r>
      <w:r>
        <w:rPr>
          <w:rFonts w:hint="eastAsia" w:eastAsia="仿宋_GB2312"/>
          <w:kern w:val="0"/>
          <w:sz w:val="28"/>
          <w:szCs w:val="28"/>
        </w:rPr>
        <w:t>财务</w:t>
      </w:r>
      <w:r>
        <w:rPr>
          <w:rFonts w:eastAsia="仿宋_GB2312"/>
          <w:kern w:val="0"/>
          <w:sz w:val="28"/>
          <w:szCs w:val="28"/>
        </w:rPr>
        <w:t>专家担任评价专家组组长。评价会上，专家组认真听取了项目情况汇报，并结合专家手册对相关问题进行质询，对相关数据进行核实。同时，针对关注的问题，专家与市人大常委会</w:t>
      </w:r>
      <w:r>
        <w:rPr>
          <w:rFonts w:hint="eastAsia" w:eastAsia="仿宋_GB2312"/>
          <w:kern w:val="0"/>
          <w:sz w:val="28"/>
          <w:szCs w:val="28"/>
        </w:rPr>
        <w:t>代表工作委员会</w:t>
      </w:r>
      <w:r>
        <w:rPr>
          <w:rFonts w:eastAsia="仿宋_GB2312"/>
          <w:kern w:val="0"/>
          <w:sz w:val="28"/>
          <w:szCs w:val="28"/>
        </w:rPr>
        <w:t>进行了充分的讨论和沟通，并根据设定的指标体系对市人大常委会</w:t>
      </w:r>
      <w:r>
        <w:rPr>
          <w:rFonts w:hint="eastAsia" w:eastAsia="仿宋_GB2312"/>
          <w:kern w:val="0"/>
          <w:sz w:val="28"/>
          <w:szCs w:val="28"/>
        </w:rPr>
        <w:t>2023年</w:t>
      </w:r>
      <w:r>
        <w:rPr>
          <w:rFonts w:eastAsia="仿宋_GB2312"/>
          <w:kern w:val="0"/>
          <w:sz w:val="28"/>
          <w:szCs w:val="28"/>
        </w:rPr>
        <w:t>度“</w:t>
      </w:r>
      <w:r>
        <w:rPr>
          <w:rFonts w:hint="eastAsia" w:eastAsia="仿宋_GB2312"/>
          <w:kern w:val="0"/>
          <w:sz w:val="28"/>
          <w:szCs w:val="28"/>
        </w:rPr>
        <w:t>市人大代表履职培训经费</w:t>
      </w:r>
      <w:r>
        <w:rPr>
          <w:rFonts w:eastAsia="仿宋_GB2312"/>
          <w:kern w:val="0"/>
          <w:sz w:val="28"/>
          <w:szCs w:val="28"/>
        </w:rPr>
        <w:t>”项目情况进行客观、公正的评分，并出具了《专家意见汇总书》和《专家评价书》。</w:t>
      </w:r>
    </w:p>
    <w:p>
      <w:pPr>
        <w:spacing w:line="600" w:lineRule="exact"/>
        <w:ind w:firstLine="560" w:firstLineChars="200"/>
        <w:rPr>
          <w:rFonts w:eastAsia="仿宋_GB2312"/>
          <w:kern w:val="0"/>
          <w:sz w:val="28"/>
          <w:szCs w:val="28"/>
        </w:rPr>
      </w:pPr>
      <w:r>
        <w:rPr>
          <w:rFonts w:eastAsia="仿宋_GB2312"/>
          <w:kern w:val="0"/>
          <w:sz w:val="28"/>
          <w:szCs w:val="28"/>
        </w:rPr>
        <w:t>5.沟通反馈</w:t>
      </w:r>
    </w:p>
    <w:p>
      <w:pPr>
        <w:spacing w:line="600" w:lineRule="exact"/>
        <w:ind w:firstLine="560" w:firstLineChars="200"/>
        <w:rPr>
          <w:rFonts w:eastAsia="仿宋_GB2312"/>
          <w:kern w:val="0"/>
          <w:sz w:val="28"/>
          <w:szCs w:val="28"/>
        </w:rPr>
      </w:pPr>
      <w:r>
        <w:rPr>
          <w:rFonts w:eastAsia="仿宋_GB2312"/>
          <w:kern w:val="0"/>
          <w:sz w:val="28"/>
          <w:szCs w:val="28"/>
        </w:rPr>
        <w:t>评价工作组根据专家意见，完成绩效评价报告初稿的撰写工作。在与市人大常委会</w:t>
      </w:r>
      <w:r>
        <w:rPr>
          <w:rFonts w:hint="eastAsia" w:eastAsia="仿宋_GB2312"/>
          <w:kern w:val="0"/>
          <w:sz w:val="28"/>
          <w:szCs w:val="28"/>
        </w:rPr>
        <w:t>代表工作委员会</w:t>
      </w:r>
      <w:r>
        <w:rPr>
          <w:rFonts w:eastAsia="仿宋_GB2312"/>
          <w:kern w:val="0"/>
          <w:sz w:val="28"/>
          <w:szCs w:val="28"/>
        </w:rPr>
        <w:t>沟通意见，并充分研究论证的基础上，修改和完善绩效评价报告，形成评价报告终稿。</w:t>
      </w:r>
    </w:p>
    <w:p>
      <w:pPr>
        <w:spacing w:line="600" w:lineRule="exact"/>
        <w:ind w:firstLine="560" w:firstLineChars="200"/>
        <w:rPr>
          <w:rFonts w:eastAsia="仿宋_GB2312"/>
          <w:kern w:val="0"/>
          <w:sz w:val="28"/>
          <w:szCs w:val="28"/>
        </w:rPr>
      </w:pPr>
      <w:r>
        <w:rPr>
          <w:rFonts w:eastAsia="仿宋_GB2312"/>
          <w:kern w:val="0"/>
          <w:sz w:val="28"/>
          <w:szCs w:val="28"/>
        </w:rPr>
        <w:t>6.出具报告</w:t>
      </w:r>
    </w:p>
    <w:p>
      <w:pPr>
        <w:spacing w:line="600" w:lineRule="exact"/>
        <w:ind w:firstLine="560" w:firstLineChars="200"/>
        <w:rPr>
          <w:rFonts w:eastAsia="仿宋_GB2312"/>
          <w:kern w:val="0"/>
          <w:sz w:val="28"/>
          <w:szCs w:val="28"/>
        </w:rPr>
      </w:pPr>
      <w:r>
        <w:rPr>
          <w:rFonts w:eastAsia="仿宋_GB2312"/>
          <w:kern w:val="0"/>
          <w:sz w:val="28"/>
          <w:szCs w:val="28"/>
        </w:rPr>
        <w:t>评价工作组出具绩效评价报告，并将报告及项目资料报送市人大常委会进行归档。</w:t>
      </w:r>
    </w:p>
    <w:p>
      <w:pPr>
        <w:numPr>
          <w:ilvl w:val="0"/>
          <w:numId w:val="3"/>
        </w:numPr>
        <w:spacing w:line="600" w:lineRule="exact"/>
        <w:ind w:firstLine="562" w:firstLineChars="200"/>
        <w:outlineLvl w:val="0"/>
        <w:rPr>
          <w:rFonts w:eastAsia="仿宋_GB2312"/>
          <w:b/>
          <w:kern w:val="0"/>
          <w:sz w:val="28"/>
          <w:szCs w:val="28"/>
        </w:rPr>
      </w:pPr>
      <w:bookmarkStart w:id="13" w:name="_Toc15927"/>
      <w:r>
        <w:rPr>
          <w:rFonts w:eastAsia="仿宋_GB2312"/>
          <w:b/>
          <w:kern w:val="0"/>
          <w:sz w:val="28"/>
          <w:szCs w:val="28"/>
        </w:rPr>
        <w:t>综合评价情况及评价结论（附相关评分表）</w:t>
      </w:r>
      <w:bookmarkEnd w:id="13"/>
    </w:p>
    <w:p>
      <w:pPr>
        <w:spacing w:line="600" w:lineRule="exact"/>
        <w:ind w:firstLine="560" w:firstLineChars="200"/>
        <w:rPr>
          <w:rFonts w:eastAsia="仿宋_GB2312"/>
          <w:kern w:val="0"/>
          <w:sz w:val="28"/>
          <w:szCs w:val="28"/>
        </w:rPr>
      </w:pPr>
      <w:r>
        <w:rPr>
          <w:rFonts w:eastAsia="仿宋_GB2312"/>
          <w:kern w:val="0"/>
          <w:sz w:val="28"/>
          <w:szCs w:val="28"/>
        </w:rPr>
        <w:t>市人大常委会</w:t>
      </w:r>
      <w:r>
        <w:rPr>
          <w:rFonts w:hint="eastAsia" w:eastAsia="仿宋_GB2312"/>
          <w:kern w:val="0"/>
          <w:sz w:val="28"/>
          <w:szCs w:val="28"/>
        </w:rPr>
        <w:t>2023年</w:t>
      </w:r>
      <w:r>
        <w:rPr>
          <w:rFonts w:eastAsia="仿宋_GB2312"/>
          <w:kern w:val="0"/>
          <w:sz w:val="28"/>
          <w:szCs w:val="28"/>
        </w:rPr>
        <w:t>度</w:t>
      </w:r>
      <w:r>
        <w:rPr>
          <w:rFonts w:hint="eastAsia" w:eastAsia="仿宋_GB2312"/>
          <w:kern w:val="0"/>
          <w:sz w:val="28"/>
          <w:szCs w:val="28"/>
        </w:rPr>
        <w:t>市人大代表履职培训经费</w:t>
      </w:r>
      <w:r>
        <w:rPr>
          <w:rFonts w:eastAsia="仿宋_GB2312"/>
          <w:kern w:val="0"/>
          <w:sz w:val="28"/>
          <w:szCs w:val="28"/>
        </w:rPr>
        <w:t>项目绩效评价综合得分</w:t>
      </w:r>
      <w:r>
        <w:rPr>
          <w:rFonts w:hint="eastAsia" w:eastAsia="仿宋_GB2312"/>
          <w:kern w:val="0"/>
          <w:sz w:val="28"/>
          <w:szCs w:val="28"/>
        </w:rPr>
        <w:t>91.16</w:t>
      </w:r>
      <w:r>
        <w:rPr>
          <w:rFonts w:eastAsia="仿宋_GB2312"/>
          <w:kern w:val="0"/>
          <w:sz w:val="28"/>
          <w:szCs w:val="28"/>
        </w:rPr>
        <w:t>分，其中，项目决策</w:t>
      </w:r>
      <w:r>
        <w:rPr>
          <w:rFonts w:hint="eastAsia" w:eastAsia="仿宋_GB2312"/>
          <w:kern w:val="0"/>
          <w:sz w:val="28"/>
          <w:szCs w:val="28"/>
        </w:rPr>
        <w:t>9.26</w:t>
      </w:r>
      <w:r>
        <w:rPr>
          <w:rFonts w:eastAsia="仿宋_GB2312"/>
          <w:kern w:val="0"/>
          <w:sz w:val="28"/>
          <w:szCs w:val="28"/>
        </w:rPr>
        <w:t>分，项目过程</w:t>
      </w:r>
      <w:r>
        <w:rPr>
          <w:rFonts w:hint="eastAsia" w:eastAsia="仿宋_GB2312"/>
          <w:kern w:val="0"/>
          <w:sz w:val="28"/>
          <w:szCs w:val="28"/>
        </w:rPr>
        <w:t>19.10</w:t>
      </w:r>
      <w:r>
        <w:rPr>
          <w:rFonts w:eastAsia="仿宋_GB2312"/>
          <w:kern w:val="0"/>
          <w:sz w:val="28"/>
          <w:szCs w:val="28"/>
        </w:rPr>
        <w:t>分，项目产出</w:t>
      </w:r>
      <w:r>
        <w:rPr>
          <w:rFonts w:hint="eastAsia" w:eastAsia="仿宋_GB2312"/>
          <w:kern w:val="0"/>
          <w:sz w:val="28"/>
          <w:szCs w:val="28"/>
        </w:rPr>
        <w:t>36.60</w:t>
      </w:r>
      <w:r>
        <w:rPr>
          <w:rFonts w:eastAsia="仿宋_GB2312"/>
          <w:kern w:val="0"/>
          <w:sz w:val="28"/>
          <w:szCs w:val="28"/>
        </w:rPr>
        <w:t>分，项目效益</w:t>
      </w:r>
      <w:r>
        <w:rPr>
          <w:rFonts w:hint="eastAsia" w:eastAsia="仿宋_GB2312"/>
          <w:kern w:val="0"/>
          <w:sz w:val="28"/>
          <w:szCs w:val="28"/>
        </w:rPr>
        <w:t>26.20</w:t>
      </w:r>
      <w:r>
        <w:rPr>
          <w:rFonts w:eastAsia="仿宋_GB2312"/>
          <w:kern w:val="0"/>
          <w:sz w:val="28"/>
          <w:szCs w:val="28"/>
        </w:rPr>
        <w:t>分。具体情况详见</w:t>
      </w:r>
      <w:r>
        <w:rPr>
          <w:rFonts w:hint="eastAsia" w:eastAsia="仿宋_GB2312"/>
          <w:kern w:val="0"/>
          <w:sz w:val="28"/>
          <w:szCs w:val="28"/>
        </w:rPr>
        <w:t>附件：指标体系及打分情况表</w:t>
      </w:r>
      <w:r>
        <w:rPr>
          <w:rFonts w:eastAsia="仿宋_GB2312"/>
          <w:kern w:val="0"/>
          <w:sz w:val="28"/>
          <w:szCs w:val="28"/>
        </w:rPr>
        <w:t>。</w:t>
      </w:r>
    </w:p>
    <w:p>
      <w:pPr>
        <w:numPr>
          <w:ilvl w:val="0"/>
          <w:numId w:val="3"/>
        </w:numPr>
        <w:spacing w:line="600" w:lineRule="exact"/>
        <w:ind w:firstLine="562" w:firstLineChars="200"/>
        <w:outlineLvl w:val="0"/>
        <w:rPr>
          <w:rFonts w:eastAsia="仿宋_GB2312"/>
          <w:b/>
          <w:kern w:val="0"/>
          <w:sz w:val="28"/>
          <w:szCs w:val="28"/>
        </w:rPr>
      </w:pPr>
      <w:bookmarkStart w:id="14" w:name="_Toc13922"/>
      <w:r>
        <w:rPr>
          <w:rFonts w:eastAsia="仿宋_GB2312"/>
          <w:b/>
          <w:kern w:val="0"/>
          <w:sz w:val="28"/>
          <w:szCs w:val="28"/>
        </w:rPr>
        <w:t>绩效评价指标分析</w:t>
      </w:r>
      <w:bookmarkEnd w:id="14"/>
    </w:p>
    <w:p>
      <w:pPr>
        <w:spacing w:line="600" w:lineRule="exact"/>
        <w:ind w:firstLine="560" w:firstLineChars="200"/>
        <w:outlineLvl w:val="1"/>
        <w:rPr>
          <w:rFonts w:eastAsia="仿宋_GB2312"/>
          <w:kern w:val="0"/>
          <w:sz w:val="28"/>
          <w:szCs w:val="28"/>
        </w:rPr>
      </w:pPr>
      <w:bookmarkStart w:id="15" w:name="_Toc29870"/>
      <w:r>
        <w:rPr>
          <w:rFonts w:eastAsia="仿宋_GB2312"/>
          <w:kern w:val="0"/>
          <w:sz w:val="28"/>
          <w:szCs w:val="28"/>
        </w:rPr>
        <w:t>（一）项目决策情况</w:t>
      </w:r>
      <w:bookmarkEnd w:id="15"/>
    </w:p>
    <w:p>
      <w:pPr>
        <w:numPr>
          <w:ilvl w:val="0"/>
          <w:numId w:val="4"/>
        </w:numPr>
        <w:spacing w:line="360" w:lineRule="auto"/>
        <w:ind w:left="0" w:firstLine="560" w:firstLineChars="200"/>
        <w:outlineLvl w:val="0"/>
        <w:rPr>
          <w:rFonts w:eastAsia="仿宋_GB2312"/>
          <w:kern w:val="0"/>
          <w:sz w:val="28"/>
          <w:szCs w:val="28"/>
        </w:rPr>
      </w:pPr>
      <w:bookmarkStart w:id="16" w:name="_Toc14"/>
      <w:r>
        <w:rPr>
          <w:rFonts w:eastAsia="仿宋_GB2312"/>
          <w:kern w:val="0"/>
          <w:sz w:val="28"/>
          <w:szCs w:val="28"/>
        </w:rPr>
        <w:t>项目立项依据充分性及程序规范性分析</w:t>
      </w:r>
      <w:bookmarkEnd w:id="16"/>
    </w:p>
    <w:p>
      <w:pPr>
        <w:spacing w:line="600" w:lineRule="exact"/>
        <w:ind w:firstLine="560" w:firstLineChars="200"/>
        <w:rPr>
          <w:rFonts w:eastAsia="仿宋_GB2312"/>
          <w:kern w:val="0"/>
          <w:sz w:val="28"/>
          <w:szCs w:val="28"/>
        </w:rPr>
      </w:pPr>
      <w:bookmarkStart w:id="17" w:name="_Toc6933"/>
      <w:r>
        <w:rPr>
          <w:rFonts w:eastAsia="仿宋_GB2312"/>
          <w:kern w:val="0"/>
          <w:sz w:val="28"/>
          <w:szCs w:val="28"/>
        </w:rPr>
        <w:t>市人大常委会</w:t>
      </w:r>
      <w:r>
        <w:rPr>
          <w:rFonts w:hint="eastAsia" w:eastAsia="仿宋_GB2312"/>
          <w:kern w:val="0"/>
          <w:sz w:val="28"/>
          <w:szCs w:val="28"/>
        </w:rPr>
        <w:t>2023年</w:t>
      </w:r>
      <w:r>
        <w:rPr>
          <w:rFonts w:eastAsia="仿宋_GB2312"/>
          <w:kern w:val="0"/>
          <w:sz w:val="28"/>
          <w:szCs w:val="28"/>
        </w:rPr>
        <w:t>度</w:t>
      </w:r>
      <w:r>
        <w:rPr>
          <w:rFonts w:hint="eastAsia" w:eastAsia="仿宋_GB2312"/>
          <w:kern w:val="0"/>
          <w:sz w:val="28"/>
          <w:szCs w:val="28"/>
        </w:rPr>
        <w:t>市人大代表履职培训经费</w:t>
      </w:r>
      <w:r>
        <w:rPr>
          <w:rFonts w:eastAsia="仿宋_GB2312"/>
          <w:kern w:val="0"/>
          <w:sz w:val="28"/>
          <w:szCs w:val="28"/>
        </w:rPr>
        <w:t>项目以</w:t>
      </w:r>
      <w:r>
        <w:rPr>
          <w:rFonts w:hint="eastAsia" w:eastAsia="仿宋_GB2312"/>
          <w:sz w:val="28"/>
          <w:szCs w:val="28"/>
        </w:rPr>
        <w:t>《中华人民共和国全国人民代表大会和地方各级人民代表大会代表法》</w:t>
      </w:r>
      <w:r>
        <w:rPr>
          <w:rFonts w:eastAsia="仿宋_GB2312"/>
          <w:kern w:val="0"/>
          <w:sz w:val="28"/>
          <w:szCs w:val="28"/>
        </w:rPr>
        <w:t>为立项依据，</w:t>
      </w:r>
      <w:r>
        <w:rPr>
          <w:rFonts w:hint="eastAsia" w:eastAsia="仿宋_GB2312"/>
          <w:kern w:val="0"/>
          <w:sz w:val="28"/>
          <w:szCs w:val="28"/>
        </w:rPr>
        <w:t>对人大代表进行履职培训</w:t>
      </w:r>
      <w:r>
        <w:rPr>
          <w:rFonts w:eastAsia="仿宋_GB2312"/>
          <w:kern w:val="0"/>
          <w:sz w:val="28"/>
          <w:szCs w:val="28"/>
        </w:rPr>
        <w:t>。</w:t>
      </w:r>
      <w:bookmarkEnd w:id="17"/>
    </w:p>
    <w:p>
      <w:pPr>
        <w:spacing w:line="600" w:lineRule="exact"/>
        <w:ind w:firstLine="560" w:firstLineChars="200"/>
      </w:pPr>
      <w:r>
        <w:rPr>
          <w:rFonts w:hint="eastAsia" w:eastAsia="仿宋_GB2312"/>
          <w:kern w:val="0"/>
          <w:sz w:val="28"/>
          <w:szCs w:val="28"/>
        </w:rPr>
        <w:t>2023年4月，依据北京市人大常委会2023年代表工作计划及2023年市人大代表学习培训计划，</w:t>
      </w:r>
      <w:r>
        <w:rPr>
          <w:rFonts w:eastAsia="仿宋_GB2312"/>
          <w:kern w:val="0"/>
          <w:sz w:val="28"/>
          <w:szCs w:val="28"/>
        </w:rPr>
        <w:t>市人大常委会</w:t>
      </w:r>
      <w:r>
        <w:rPr>
          <w:rFonts w:hint="eastAsia" w:eastAsia="仿宋_GB2312"/>
          <w:kern w:val="0"/>
          <w:sz w:val="28"/>
          <w:szCs w:val="28"/>
        </w:rPr>
        <w:t>代表工作委员会制定了2023年市十六届人大代表履职学习轮训班工作方案。</w:t>
      </w:r>
    </w:p>
    <w:p>
      <w:pPr>
        <w:numPr>
          <w:ilvl w:val="0"/>
          <w:numId w:val="4"/>
        </w:numPr>
        <w:spacing w:line="360" w:lineRule="auto"/>
        <w:ind w:left="0" w:firstLine="560" w:firstLineChars="200"/>
        <w:outlineLvl w:val="0"/>
        <w:rPr>
          <w:rFonts w:eastAsia="仿宋_GB2312"/>
          <w:kern w:val="0"/>
          <w:sz w:val="28"/>
          <w:szCs w:val="28"/>
        </w:rPr>
      </w:pPr>
      <w:bookmarkStart w:id="18" w:name="_Toc10093"/>
      <w:r>
        <w:rPr>
          <w:rFonts w:eastAsia="仿宋_GB2312"/>
          <w:kern w:val="0"/>
          <w:sz w:val="28"/>
          <w:szCs w:val="28"/>
        </w:rPr>
        <w:t>绩效目标合理性分析</w:t>
      </w:r>
      <w:bookmarkEnd w:id="18"/>
    </w:p>
    <w:p>
      <w:pPr>
        <w:spacing w:line="360" w:lineRule="auto"/>
        <w:ind w:firstLine="560" w:firstLineChars="200"/>
        <w:outlineLvl w:val="0"/>
      </w:pPr>
      <w:bookmarkStart w:id="19" w:name="_Toc6759"/>
      <w:r>
        <w:rPr>
          <w:rFonts w:eastAsia="仿宋_GB2312"/>
          <w:kern w:val="0"/>
          <w:sz w:val="28"/>
          <w:szCs w:val="28"/>
        </w:rPr>
        <w:t>项目绩效目标设定符合市人大常委会</w:t>
      </w:r>
      <w:r>
        <w:rPr>
          <w:rFonts w:hint="eastAsia" w:eastAsia="仿宋_GB2312"/>
          <w:kern w:val="0"/>
          <w:sz w:val="28"/>
          <w:szCs w:val="28"/>
        </w:rPr>
        <w:t>代表工作委员会</w:t>
      </w:r>
      <w:r>
        <w:rPr>
          <w:rFonts w:eastAsia="仿宋_GB2312"/>
          <w:kern w:val="0"/>
          <w:sz w:val="28"/>
          <w:szCs w:val="28"/>
        </w:rPr>
        <w:t>工作职责，通过项目实施，</w:t>
      </w:r>
      <w:r>
        <w:rPr>
          <w:rFonts w:hint="eastAsia" w:eastAsia="仿宋_GB2312"/>
          <w:kern w:val="0"/>
          <w:sz w:val="28"/>
          <w:szCs w:val="28"/>
        </w:rPr>
        <w:t>使代表能够比较系统地学习党的理论、方针政策和学习领导重要讲话以及法律法规，了解人民代表大会制度，了解本市重要工作情况，掌握履行代表职务所必备知识，掌握履行职务的方式方法，提高履职能力。</w:t>
      </w:r>
      <w:r>
        <w:rPr>
          <w:rFonts w:eastAsia="仿宋_GB2312"/>
          <w:kern w:val="0"/>
          <w:sz w:val="28"/>
          <w:szCs w:val="28"/>
        </w:rPr>
        <w:t>根据预期目</w:t>
      </w:r>
      <w:r>
        <w:rPr>
          <w:rFonts w:hint="eastAsia" w:eastAsia="仿宋_GB2312"/>
          <w:kern w:val="0"/>
          <w:sz w:val="28"/>
          <w:szCs w:val="28"/>
        </w:rPr>
        <w:t>标</w:t>
      </w:r>
      <w:r>
        <w:rPr>
          <w:rFonts w:eastAsia="仿宋_GB2312"/>
          <w:kern w:val="0"/>
          <w:sz w:val="28"/>
          <w:szCs w:val="28"/>
        </w:rPr>
        <w:t>，本项目设置了总体绩效目标及各级绩效指标，基本符合项目实际情况。</w:t>
      </w:r>
      <w:bookmarkEnd w:id="19"/>
    </w:p>
    <w:p>
      <w:pPr>
        <w:numPr>
          <w:ilvl w:val="0"/>
          <w:numId w:val="4"/>
        </w:numPr>
        <w:spacing w:line="360" w:lineRule="auto"/>
        <w:ind w:left="0" w:firstLine="560" w:firstLineChars="200"/>
        <w:outlineLvl w:val="0"/>
        <w:rPr>
          <w:rFonts w:eastAsia="仿宋_GB2312"/>
          <w:kern w:val="0"/>
          <w:sz w:val="28"/>
          <w:szCs w:val="28"/>
        </w:rPr>
      </w:pPr>
      <w:bookmarkStart w:id="20" w:name="_Toc29064"/>
      <w:r>
        <w:rPr>
          <w:rFonts w:eastAsia="仿宋_GB2312"/>
          <w:kern w:val="0"/>
          <w:sz w:val="28"/>
          <w:szCs w:val="28"/>
        </w:rPr>
        <w:t>项目资金投入科学性及合理性分析</w:t>
      </w:r>
      <w:bookmarkEnd w:id="20"/>
    </w:p>
    <w:p>
      <w:pPr>
        <w:spacing w:line="360" w:lineRule="auto"/>
        <w:ind w:firstLine="560" w:firstLineChars="200"/>
        <w:outlineLvl w:val="0"/>
        <w:rPr>
          <w:rFonts w:eastAsia="仿宋_GB2312"/>
          <w:kern w:val="0"/>
          <w:sz w:val="28"/>
          <w:szCs w:val="28"/>
        </w:rPr>
      </w:pPr>
      <w:bookmarkStart w:id="21" w:name="_Toc21866"/>
      <w:r>
        <w:rPr>
          <w:rFonts w:eastAsia="仿宋_GB2312"/>
          <w:kern w:val="0"/>
          <w:sz w:val="28"/>
          <w:szCs w:val="28"/>
        </w:rPr>
        <w:t>在</w:t>
      </w:r>
      <w:r>
        <w:rPr>
          <w:rFonts w:hint="eastAsia" w:eastAsia="仿宋_GB2312"/>
          <w:kern w:val="0"/>
          <w:sz w:val="28"/>
          <w:szCs w:val="28"/>
        </w:rPr>
        <w:t>2023年</w:t>
      </w:r>
      <w:r>
        <w:rPr>
          <w:rFonts w:eastAsia="仿宋_GB2312"/>
          <w:kern w:val="0"/>
          <w:sz w:val="28"/>
          <w:szCs w:val="28"/>
        </w:rPr>
        <w:t>初，市人大常委会</w:t>
      </w:r>
      <w:r>
        <w:rPr>
          <w:rFonts w:hint="eastAsia" w:eastAsia="仿宋_GB2312"/>
          <w:kern w:val="0"/>
          <w:sz w:val="28"/>
          <w:szCs w:val="28"/>
        </w:rPr>
        <w:t>代表工作委员会</w:t>
      </w:r>
      <w:r>
        <w:rPr>
          <w:rFonts w:eastAsia="仿宋_GB2312"/>
          <w:kern w:val="0"/>
          <w:sz w:val="28"/>
          <w:szCs w:val="28"/>
        </w:rPr>
        <w:t>根据项目工作内容及预算相关标准，编制了项目申报书，项目经费共计</w:t>
      </w:r>
      <w:r>
        <w:rPr>
          <w:rFonts w:hint="eastAsia" w:eastAsia="仿宋_GB2312"/>
          <w:kern w:val="0"/>
          <w:sz w:val="28"/>
          <w:szCs w:val="28"/>
        </w:rPr>
        <w:t>125.75万元</w:t>
      </w:r>
      <w:r>
        <w:rPr>
          <w:rFonts w:eastAsia="仿宋_GB2312"/>
          <w:kern w:val="0"/>
          <w:sz w:val="28"/>
          <w:szCs w:val="28"/>
        </w:rPr>
        <w:t>，批复</w:t>
      </w:r>
      <w:r>
        <w:rPr>
          <w:rFonts w:hint="eastAsia" w:eastAsia="仿宋_GB2312"/>
          <w:kern w:val="0"/>
          <w:sz w:val="28"/>
          <w:szCs w:val="28"/>
        </w:rPr>
        <w:t>预</w:t>
      </w:r>
      <w:r>
        <w:rPr>
          <w:rFonts w:eastAsia="仿宋_GB2312"/>
          <w:kern w:val="0"/>
          <w:sz w:val="28"/>
          <w:szCs w:val="28"/>
        </w:rPr>
        <w:t>算项目的</w:t>
      </w:r>
      <w:r>
        <w:rPr>
          <w:rFonts w:hint="eastAsia" w:eastAsia="仿宋_GB2312"/>
          <w:kern w:val="0"/>
          <w:sz w:val="28"/>
          <w:szCs w:val="28"/>
        </w:rPr>
        <w:t>预</w:t>
      </w:r>
      <w:r>
        <w:rPr>
          <w:rFonts w:eastAsia="仿宋_GB2312"/>
          <w:kern w:val="0"/>
          <w:sz w:val="28"/>
          <w:szCs w:val="28"/>
        </w:rPr>
        <w:t>算结构为：</w:t>
      </w:r>
      <w:r>
        <w:rPr>
          <w:rFonts w:hint="eastAsia" w:eastAsia="仿宋_GB2312"/>
          <w:kern w:val="0"/>
          <w:sz w:val="28"/>
          <w:szCs w:val="28"/>
        </w:rPr>
        <w:t>培训费80.85万元，委托业务费35万元，办公费3.6万元，劳务费6.3万元</w:t>
      </w:r>
      <w:r>
        <w:rPr>
          <w:rFonts w:eastAsia="仿宋_GB2312"/>
          <w:kern w:val="0"/>
          <w:sz w:val="28"/>
          <w:szCs w:val="28"/>
        </w:rPr>
        <w:t>。</w:t>
      </w:r>
      <w:bookmarkEnd w:id="21"/>
    </w:p>
    <w:p>
      <w:pPr>
        <w:numPr>
          <w:ilvl w:val="0"/>
          <w:numId w:val="5"/>
        </w:numPr>
        <w:spacing w:line="600" w:lineRule="exact"/>
        <w:ind w:firstLine="560" w:firstLineChars="200"/>
        <w:outlineLvl w:val="1"/>
        <w:rPr>
          <w:rFonts w:eastAsia="仿宋_GB2312"/>
          <w:kern w:val="0"/>
          <w:sz w:val="28"/>
          <w:szCs w:val="28"/>
        </w:rPr>
      </w:pPr>
      <w:bookmarkStart w:id="22" w:name="_Toc3093"/>
      <w:r>
        <w:rPr>
          <w:rFonts w:eastAsia="仿宋_GB2312"/>
          <w:kern w:val="0"/>
          <w:sz w:val="28"/>
          <w:szCs w:val="28"/>
        </w:rPr>
        <w:t>项目过程情况</w:t>
      </w:r>
      <w:bookmarkEnd w:id="22"/>
    </w:p>
    <w:p>
      <w:pPr>
        <w:numPr>
          <w:ilvl w:val="0"/>
          <w:numId w:val="6"/>
        </w:numPr>
        <w:spacing w:line="360" w:lineRule="auto"/>
        <w:ind w:left="0" w:firstLine="560" w:firstLineChars="200"/>
        <w:outlineLvl w:val="0"/>
        <w:rPr>
          <w:rFonts w:eastAsia="仿宋_GB2312"/>
          <w:kern w:val="0"/>
          <w:sz w:val="28"/>
          <w:szCs w:val="28"/>
        </w:rPr>
      </w:pPr>
      <w:bookmarkStart w:id="23" w:name="_Toc23056"/>
      <w:r>
        <w:rPr>
          <w:rFonts w:eastAsia="仿宋_GB2312"/>
          <w:kern w:val="0"/>
          <w:sz w:val="28"/>
          <w:szCs w:val="28"/>
        </w:rPr>
        <w:t>项目资金管理情况分析</w:t>
      </w:r>
      <w:bookmarkEnd w:id="23"/>
    </w:p>
    <w:p>
      <w:pPr>
        <w:pStyle w:val="23"/>
        <w:numPr>
          <w:ilvl w:val="0"/>
          <w:numId w:val="7"/>
        </w:numPr>
        <w:spacing w:line="360" w:lineRule="auto"/>
        <w:ind w:firstLineChars="0"/>
        <w:outlineLvl w:val="0"/>
        <w:rPr>
          <w:rFonts w:eastAsia="仿宋_GB2312"/>
          <w:kern w:val="0"/>
          <w:sz w:val="28"/>
          <w:szCs w:val="28"/>
        </w:rPr>
      </w:pPr>
      <w:bookmarkStart w:id="24" w:name="_Toc27226"/>
      <w:r>
        <w:rPr>
          <w:rFonts w:hint="eastAsia" w:eastAsia="仿宋_GB2312"/>
          <w:kern w:val="0"/>
          <w:sz w:val="28"/>
          <w:szCs w:val="28"/>
        </w:rPr>
        <w:t>资金到位情况</w:t>
      </w:r>
    </w:p>
    <w:p>
      <w:pPr>
        <w:spacing w:line="360" w:lineRule="auto"/>
        <w:ind w:firstLine="560" w:firstLineChars="200"/>
        <w:outlineLvl w:val="0"/>
        <w:rPr>
          <w:rFonts w:eastAsia="仿宋_GB2312"/>
          <w:kern w:val="0"/>
          <w:sz w:val="28"/>
          <w:szCs w:val="28"/>
        </w:rPr>
      </w:pPr>
      <w:r>
        <w:rPr>
          <w:rFonts w:eastAsia="仿宋_GB2312"/>
          <w:kern w:val="0"/>
          <w:sz w:val="28"/>
          <w:szCs w:val="28"/>
        </w:rPr>
        <w:t>市人大常委会</w:t>
      </w:r>
      <w:r>
        <w:rPr>
          <w:rFonts w:hint="eastAsia" w:eastAsia="仿宋_GB2312"/>
          <w:kern w:val="0"/>
          <w:sz w:val="28"/>
          <w:szCs w:val="28"/>
        </w:rPr>
        <w:t>2023年</w:t>
      </w:r>
      <w:r>
        <w:rPr>
          <w:rFonts w:eastAsia="仿宋_GB2312"/>
          <w:kern w:val="0"/>
          <w:sz w:val="28"/>
          <w:szCs w:val="28"/>
        </w:rPr>
        <w:t>度</w:t>
      </w:r>
      <w:r>
        <w:rPr>
          <w:rFonts w:hint="eastAsia" w:eastAsia="仿宋_GB2312"/>
          <w:kern w:val="0"/>
          <w:sz w:val="28"/>
          <w:szCs w:val="28"/>
        </w:rPr>
        <w:t>市人大代表履职培训经费</w:t>
      </w:r>
      <w:r>
        <w:rPr>
          <w:rFonts w:eastAsia="仿宋_GB2312"/>
          <w:kern w:val="0"/>
          <w:sz w:val="28"/>
          <w:szCs w:val="28"/>
        </w:rPr>
        <w:t>部门预算资金由北京市财政局统一安排，资金到位率100%。</w:t>
      </w:r>
      <w:bookmarkEnd w:id="24"/>
    </w:p>
    <w:p>
      <w:pPr>
        <w:spacing w:line="360" w:lineRule="auto"/>
        <w:ind w:firstLine="560" w:firstLineChars="200"/>
        <w:outlineLvl w:val="0"/>
        <w:rPr>
          <w:rFonts w:eastAsia="仿宋_GB2312"/>
          <w:kern w:val="0"/>
          <w:sz w:val="28"/>
          <w:szCs w:val="28"/>
        </w:rPr>
      </w:pPr>
      <w:bookmarkStart w:id="25" w:name="_Toc9019"/>
      <w:r>
        <w:rPr>
          <w:rFonts w:eastAsia="仿宋_GB2312"/>
          <w:kern w:val="0"/>
          <w:sz w:val="28"/>
          <w:szCs w:val="28"/>
        </w:rPr>
        <w:t>（2）市人大常委会资金管理情况</w:t>
      </w:r>
      <w:bookmarkEnd w:id="25"/>
    </w:p>
    <w:p>
      <w:pPr>
        <w:spacing w:line="360" w:lineRule="auto"/>
        <w:ind w:firstLine="560" w:firstLineChars="200"/>
        <w:outlineLvl w:val="0"/>
        <w:rPr>
          <w:rFonts w:eastAsia="仿宋_GB2312"/>
          <w:kern w:val="0"/>
          <w:sz w:val="28"/>
          <w:szCs w:val="28"/>
        </w:rPr>
      </w:pPr>
      <w:bookmarkStart w:id="26" w:name="_Toc29198"/>
      <w:r>
        <w:rPr>
          <w:rFonts w:eastAsia="仿宋_GB2312"/>
          <w:kern w:val="0"/>
          <w:sz w:val="28"/>
          <w:szCs w:val="28"/>
        </w:rPr>
        <w:t>根据年初预算批复情况，本项目预算资金为</w:t>
      </w:r>
      <w:r>
        <w:rPr>
          <w:rFonts w:hint="eastAsia" w:eastAsia="仿宋_GB2312"/>
          <w:kern w:val="0"/>
          <w:sz w:val="28"/>
          <w:szCs w:val="28"/>
        </w:rPr>
        <w:t>125.75</w:t>
      </w:r>
      <w:r>
        <w:rPr>
          <w:rFonts w:eastAsia="仿宋_GB2312"/>
          <w:kern w:val="0"/>
          <w:sz w:val="28"/>
          <w:szCs w:val="28"/>
        </w:rPr>
        <w:t>万元。</w:t>
      </w:r>
      <w:bookmarkEnd w:id="26"/>
      <w:bookmarkStart w:id="27" w:name="_Toc13602"/>
      <w:r>
        <w:rPr>
          <w:rFonts w:eastAsia="仿宋_GB2312"/>
          <w:kern w:val="0"/>
          <w:sz w:val="28"/>
          <w:szCs w:val="28"/>
        </w:rPr>
        <w:t>在资金使用方面，市人大常委会严格遵循</w:t>
      </w:r>
      <w:r>
        <w:rPr>
          <w:rFonts w:hint="eastAsia" w:eastAsia="仿宋_GB2312"/>
          <w:kern w:val="0"/>
          <w:sz w:val="28"/>
          <w:szCs w:val="28"/>
        </w:rPr>
        <w:t>“</w:t>
      </w:r>
      <w:r>
        <w:rPr>
          <w:rFonts w:eastAsia="仿宋_GB2312"/>
          <w:kern w:val="0"/>
          <w:sz w:val="28"/>
          <w:szCs w:val="28"/>
        </w:rPr>
        <w:t>集中使用，突出重点；总体规划，当年实施；专款专用，量入为出；项目管理，绩效考评”的原则，严格按照《北京市人大常委会机关财务管理制度》</w:t>
      </w:r>
      <w:r>
        <w:rPr>
          <w:rFonts w:hint="eastAsia" w:eastAsia="仿宋_GB2312"/>
          <w:kern w:val="0"/>
          <w:sz w:val="28"/>
          <w:szCs w:val="28"/>
        </w:rPr>
        <w:t>、</w:t>
      </w:r>
      <w:r>
        <w:rPr>
          <w:rFonts w:eastAsia="仿宋_GB2312"/>
          <w:kern w:val="0"/>
          <w:sz w:val="28"/>
          <w:szCs w:val="28"/>
        </w:rPr>
        <w:t>《北京市人大常委会机关预算管理办法》</w:t>
      </w:r>
      <w:r>
        <w:rPr>
          <w:rFonts w:hint="eastAsia" w:eastAsia="仿宋_GB2312"/>
          <w:kern w:val="0"/>
          <w:sz w:val="28"/>
          <w:szCs w:val="28"/>
        </w:rPr>
        <w:t>及</w:t>
      </w:r>
      <w:r>
        <w:rPr>
          <w:rFonts w:eastAsia="仿宋_GB2312"/>
          <w:kern w:val="0"/>
          <w:sz w:val="28"/>
          <w:szCs w:val="28"/>
        </w:rPr>
        <w:t>《北京市人大常委会机关经费支出管理制度》实施审批支出管理。</w:t>
      </w:r>
      <w:bookmarkEnd w:id="27"/>
    </w:p>
    <w:p>
      <w:pPr>
        <w:numPr>
          <w:ilvl w:val="0"/>
          <w:numId w:val="6"/>
        </w:numPr>
        <w:spacing w:line="360" w:lineRule="auto"/>
        <w:ind w:left="0" w:firstLine="560" w:firstLineChars="200"/>
        <w:outlineLvl w:val="0"/>
        <w:rPr>
          <w:rFonts w:eastAsia="仿宋_GB2312"/>
          <w:kern w:val="0"/>
          <w:sz w:val="28"/>
          <w:szCs w:val="28"/>
        </w:rPr>
      </w:pPr>
      <w:bookmarkStart w:id="28" w:name="_Toc22875"/>
      <w:r>
        <w:rPr>
          <w:rFonts w:eastAsia="仿宋_GB2312"/>
          <w:kern w:val="0"/>
          <w:sz w:val="28"/>
          <w:szCs w:val="28"/>
        </w:rPr>
        <w:t>项目组织实施情况</w:t>
      </w:r>
      <w:bookmarkEnd w:id="28"/>
    </w:p>
    <w:p>
      <w:pPr>
        <w:spacing w:line="360" w:lineRule="auto"/>
        <w:ind w:firstLine="560" w:firstLineChars="200"/>
        <w:outlineLvl w:val="0"/>
        <w:rPr>
          <w:rFonts w:eastAsia="仿宋_GB2312"/>
          <w:kern w:val="0"/>
          <w:sz w:val="28"/>
          <w:szCs w:val="28"/>
        </w:rPr>
      </w:pPr>
      <w:bookmarkStart w:id="29" w:name="_Toc8262"/>
      <w:r>
        <w:rPr>
          <w:rFonts w:hint="eastAsia" w:eastAsia="仿宋_GB2312"/>
          <w:kern w:val="0"/>
          <w:sz w:val="28"/>
          <w:szCs w:val="28"/>
        </w:rPr>
        <w:t>针对新任代表履职需要，着力提高代表政治站位、提升代表依法履职能力，加强学习培训。依托市委党校和全国人大培训中心优质教学资源，加大对基层代表深入学习贯彻党的二十大精神、习近平总书记关于坚持和完善人民代表大会制度的重要思想等内容的培训，引导代表切实把思想和行动统一到党的二十大精神上来。邀请有关专家和人大工作者，就代表依法依规履职进行业务培训，帮助代表适应新时代代表履职需要，不断提高代表履职能力。</w:t>
      </w:r>
      <w:bookmarkEnd w:id="29"/>
    </w:p>
    <w:p>
      <w:pPr>
        <w:spacing w:line="360" w:lineRule="auto"/>
        <w:ind w:firstLine="560" w:firstLineChars="200"/>
        <w:outlineLvl w:val="0"/>
        <w:rPr>
          <w:rFonts w:eastAsia="仿宋_GB2312"/>
          <w:kern w:val="0"/>
          <w:sz w:val="28"/>
          <w:szCs w:val="28"/>
        </w:rPr>
      </w:pPr>
      <w:r>
        <w:rPr>
          <w:rFonts w:hint="eastAsia" w:eastAsia="仿宋_GB2312"/>
          <w:kern w:val="0"/>
          <w:sz w:val="28"/>
          <w:szCs w:val="28"/>
        </w:rPr>
        <w:t>进一步丰富网上课堂内容，突出政治理论学习，突出人大工作特色，不断提升培训的针对性、实用性和时效性。挖掘使用好中央党校（国家行政学院）优质教育资源，及时跟进开设政治时事学习专题，努力实现代表学习全天候、不间断。继续深化网上课堂使用效能，为区和乡镇人大开展代表培训、为各级人大工作者能力提升提供智力支持和服务保障。</w:t>
      </w:r>
    </w:p>
    <w:p>
      <w:pPr>
        <w:numPr>
          <w:ilvl w:val="0"/>
          <w:numId w:val="6"/>
        </w:numPr>
        <w:spacing w:line="360" w:lineRule="auto"/>
        <w:ind w:left="0" w:firstLine="560" w:firstLineChars="200"/>
        <w:outlineLvl w:val="0"/>
        <w:rPr>
          <w:rFonts w:eastAsia="仿宋_GB2312"/>
          <w:kern w:val="0"/>
          <w:sz w:val="28"/>
          <w:szCs w:val="28"/>
        </w:rPr>
      </w:pPr>
      <w:bookmarkStart w:id="30" w:name="_Toc17775"/>
      <w:r>
        <w:rPr>
          <w:rFonts w:eastAsia="仿宋_GB2312"/>
          <w:kern w:val="0"/>
          <w:sz w:val="28"/>
          <w:szCs w:val="28"/>
        </w:rPr>
        <w:t>项目管理情况</w:t>
      </w:r>
      <w:bookmarkEnd w:id="30"/>
    </w:p>
    <w:p>
      <w:pPr>
        <w:spacing w:line="360" w:lineRule="auto"/>
        <w:ind w:firstLine="560" w:firstLineChars="200"/>
        <w:outlineLvl w:val="0"/>
        <w:rPr>
          <w:rFonts w:eastAsia="仿宋_GB2312"/>
          <w:kern w:val="0"/>
          <w:sz w:val="28"/>
          <w:szCs w:val="28"/>
        </w:rPr>
      </w:pPr>
      <w:bookmarkStart w:id="31" w:name="_Toc3626"/>
      <w:r>
        <w:rPr>
          <w:rFonts w:hint="eastAsia" w:eastAsia="仿宋_GB2312"/>
          <w:kern w:val="0"/>
          <w:sz w:val="28"/>
          <w:szCs w:val="28"/>
        </w:rPr>
        <w:t>市人大常委会的预算管理由办公厅财务处统一负责，代表工作委员会按照市人大常委会机关经费管理办法严格执行。经费的使用支出的项目严格按照《北京市人大常委会机关经费支出管理制度》、《北京市人大常委会机关财务管理制度》、《北京市人大常委会机关预算管理办法》、《市人大培训费管理办法》有关规定和预算进行，确保财务信息准确。</w:t>
      </w:r>
      <w:bookmarkEnd w:id="31"/>
      <w:bookmarkStart w:id="32" w:name="_Toc31182"/>
    </w:p>
    <w:bookmarkEnd w:id="32"/>
    <w:p>
      <w:pPr>
        <w:numPr>
          <w:ilvl w:val="0"/>
          <w:numId w:val="5"/>
        </w:numPr>
        <w:spacing w:line="600" w:lineRule="exact"/>
        <w:ind w:firstLine="560" w:firstLineChars="200"/>
        <w:outlineLvl w:val="0"/>
        <w:rPr>
          <w:rFonts w:eastAsia="仿宋_GB2312"/>
          <w:kern w:val="0"/>
          <w:sz w:val="28"/>
          <w:szCs w:val="28"/>
        </w:rPr>
      </w:pPr>
      <w:bookmarkStart w:id="33" w:name="_Toc25323"/>
      <w:r>
        <w:rPr>
          <w:rFonts w:eastAsia="仿宋_GB2312"/>
          <w:kern w:val="0"/>
          <w:sz w:val="28"/>
          <w:szCs w:val="28"/>
        </w:rPr>
        <w:t>项目产出情况</w:t>
      </w:r>
      <w:bookmarkEnd w:id="33"/>
    </w:p>
    <w:p>
      <w:pPr>
        <w:numPr>
          <w:ilvl w:val="0"/>
          <w:numId w:val="8"/>
        </w:numPr>
        <w:spacing w:line="600" w:lineRule="exact"/>
        <w:ind w:left="0" w:firstLine="560" w:firstLineChars="200"/>
        <w:outlineLvl w:val="0"/>
        <w:rPr>
          <w:rFonts w:eastAsia="仿宋_GB2312"/>
          <w:kern w:val="0"/>
          <w:sz w:val="28"/>
          <w:szCs w:val="28"/>
        </w:rPr>
      </w:pPr>
      <w:bookmarkStart w:id="34" w:name="_Toc18929"/>
      <w:r>
        <w:rPr>
          <w:rFonts w:eastAsia="仿宋_GB2312"/>
          <w:kern w:val="0"/>
          <w:sz w:val="28"/>
          <w:szCs w:val="28"/>
        </w:rPr>
        <w:t>项目产出数量情况</w:t>
      </w:r>
      <w:bookmarkEnd w:id="34"/>
    </w:p>
    <w:p>
      <w:pPr>
        <w:spacing w:line="360" w:lineRule="auto"/>
        <w:ind w:firstLine="560" w:firstLineChars="200"/>
        <w:outlineLvl w:val="0"/>
        <w:rPr>
          <w:rFonts w:eastAsia="仿宋_GB2312"/>
          <w:kern w:val="0"/>
          <w:sz w:val="28"/>
          <w:szCs w:val="28"/>
        </w:rPr>
      </w:pPr>
      <w:bookmarkStart w:id="35" w:name="_Toc19180"/>
      <w:r>
        <w:rPr>
          <w:rFonts w:eastAsia="仿宋_GB2312"/>
          <w:kern w:val="0"/>
          <w:sz w:val="28"/>
          <w:szCs w:val="28"/>
        </w:rPr>
        <w:t>本项目实施期为</w:t>
      </w:r>
      <w:r>
        <w:rPr>
          <w:rFonts w:hint="eastAsia" w:eastAsia="仿宋_GB2312"/>
          <w:kern w:val="0"/>
          <w:sz w:val="28"/>
          <w:szCs w:val="28"/>
        </w:rPr>
        <w:t>2023年</w:t>
      </w:r>
      <w:r>
        <w:rPr>
          <w:rFonts w:eastAsia="仿宋_GB2312"/>
          <w:kern w:val="0"/>
          <w:sz w:val="28"/>
          <w:szCs w:val="28"/>
        </w:rPr>
        <w:t>1月1日至</w:t>
      </w:r>
      <w:r>
        <w:rPr>
          <w:rFonts w:hint="eastAsia" w:eastAsia="仿宋_GB2312"/>
          <w:kern w:val="0"/>
          <w:sz w:val="28"/>
          <w:szCs w:val="28"/>
        </w:rPr>
        <w:t>2023年</w:t>
      </w:r>
      <w:r>
        <w:rPr>
          <w:rFonts w:eastAsia="仿宋_GB2312"/>
          <w:kern w:val="0"/>
          <w:sz w:val="28"/>
          <w:szCs w:val="28"/>
        </w:rPr>
        <w:t>12月31日，项目</w:t>
      </w:r>
      <w:r>
        <w:rPr>
          <w:rFonts w:hint="eastAsia" w:eastAsia="仿宋_GB2312"/>
          <w:kern w:val="0"/>
          <w:sz w:val="28"/>
          <w:szCs w:val="28"/>
        </w:rPr>
        <w:t>产出数量</w:t>
      </w:r>
      <w:r>
        <w:rPr>
          <w:rFonts w:eastAsia="仿宋_GB2312"/>
          <w:kern w:val="0"/>
          <w:sz w:val="28"/>
          <w:szCs w:val="28"/>
        </w:rPr>
        <w:t>如下：</w:t>
      </w:r>
      <w:bookmarkEnd w:id="35"/>
    </w:p>
    <w:p>
      <w:pPr>
        <w:spacing w:line="360" w:lineRule="auto"/>
        <w:ind w:firstLine="560" w:firstLineChars="200"/>
        <w:outlineLvl w:val="0"/>
        <w:rPr>
          <w:rFonts w:eastAsia="仿宋_GB2312"/>
          <w:kern w:val="0"/>
          <w:sz w:val="28"/>
          <w:szCs w:val="28"/>
        </w:rPr>
      </w:pPr>
      <w:bookmarkStart w:id="36" w:name="_Toc18631"/>
      <w:r>
        <w:rPr>
          <w:rFonts w:hint="eastAsia" w:eastAsia="仿宋_GB2312"/>
          <w:kern w:val="0"/>
          <w:sz w:val="28"/>
          <w:szCs w:val="28"/>
        </w:rPr>
        <w:t>2023年</w:t>
      </w:r>
      <w:r>
        <w:rPr>
          <w:rFonts w:eastAsia="仿宋_GB2312"/>
          <w:kern w:val="0"/>
          <w:sz w:val="28"/>
          <w:szCs w:val="28"/>
        </w:rPr>
        <w:t>，</w:t>
      </w:r>
      <w:r>
        <w:rPr>
          <w:rFonts w:hint="eastAsia" w:eastAsia="仿宋_GB2312"/>
          <w:kern w:val="0"/>
          <w:sz w:val="28"/>
          <w:szCs w:val="28"/>
        </w:rPr>
        <w:t>四期学习班共有 358 名市人大代表和 88 人次市、区人大常委会工作人员参加，参加人员约占全市人大代表人数的二分之一，并实现了市十六届人大代表-</w:t>
      </w:r>
      <w:r>
        <w:rPr>
          <w:rFonts w:eastAsia="仿宋_GB2312"/>
          <w:kern w:val="0"/>
          <w:sz w:val="28"/>
          <w:szCs w:val="28"/>
        </w:rPr>
        <w:t>-</w:t>
      </w:r>
      <w:r>
        <w:rPr>
          <w:rFonts w:hint="eastAsia" w:eastAsia="仿宋_GB2312"/>
          <w:kern w:val="0"/>
          <w:sz w:val="28"/>
          <w:szCs w:val="28"/>
        </w:rPr>
        <w:t>新任基层代表履职基础学习全覆盖。2023 年北京人大网上课堂上线“党的二十大精神”等9个学习专题，共有 41 个视频报告、23 篇文字学习材料。网上课堂为区和乡镇人大、人大街工委组织开展日常的代表履职政治学习和基础知识学习提供了权威、可靠、及时、全天候的网上学习平台，其中2023年度市人大代表注册人数775人，并完成40,065.5学时网上课堂学习</w:t>
      </w:r>
      <w:r>
        <w:rPr>
          <w:rFonts w:eastAsia="仿宋_GB2312"/>
          <w:kern w:val="0"/>
          <w:sz w:val="28"/>
          <w:szCs w:val="28"/>
        </w:rPr>
        <w:t>。</w:t>
      </w:r>
    </w:p>
    <w:p>
      <w:pPr>
        <w:spacing w:line="360" w:lineRule="auto"/>
        <w:ind w:firstLine="560" w:firstLineChars="200"/>
        <w:outlineLvl w:val="0"/>
        <w:rPr>
          <w:rFonts w:eastAsia="仿宋_GB2312"/>
          <w:kern w:val="0"/>
          <w:sz w:val="28"/>
          <w:szCs w:val="28"/>
        </w:rPr>
      </w:pPr>
      <w:r>
        <w:rPr>
          <w:rFonts w:hint="eastAsia" w:eastAsia="仿宋_GB2312"/>
          <w:kern w:val="0"/>
          <w:sz w:val="28"/>
          <w:szCs w:val="28"/>
        </w:rPr>
        <w:t>截至2024年4月，全国、市、区、乡镇四级人大代表以及从事代表工作的同志完成了 11.99万学时的网上课堂学习，点击量达到46.60万次。</w:t>
      </w:r>
      <w:bookmarkEnd w:id="36"/>
    </w:p>
    <w:p>
      <w:pPr>
        <w:numPr>
          <w:ilvl w:val="0"/>
          <w:numId w:val="8"/>
        </w:numPr>
        <w:spacing w:line="360" w:lineRule="auto"/>
        <w:ind w:left="0" w:firstLine="560" w:firstLineChars="200"/>
        <w:outlineLvl w:val="0"/>
        <w:rPr>
          <w:rFonts w:eastAsia="仿宋_GB2312"/>
          <w:kern w:val="0"/>
          <w:sz w:val="28"/>
          <w:szCs w:val="28"/>
        </w:rPr>
      </w:pPr>
      <w:bookmarkStart w:id="37" w:name="_Toc9216"/>
      <w:r>
        <w:rPr>
          <w:rFonts w:eastAsia="仿宋_GB2312"/>
          <w:kern w:val="0"/>
          <w:sz w:val="28"/>
          <w:szCs w:val="28"/>
        </w:rPr>
        <w:t>项目产出质量情况</w:t>
      </w:r>
      <w:bookmarkEnd w:id="37"/>
    </w:p>
    <w:p>
      <w:pPr>
        <w:spacing w:line="360" w:lineRule="auto"/>
        <w:ind w:firstLine="560" w:firstLineChars="200"/>
        <w:outlineLvl w:val="0"/>
        <w:rPr>
          <w:rFonts w:eastAsia="仿宋_GB2312"/>
          <w:kern w:val="0"/>
          <w:sz w:val="28"/>
          <w:szCs w:val="28"/>
        </w:rPr>
      </w:pPr>
      <w:bookmarkStart w:id="38" w:name="_Toc11207"/>
      <w:r>
        <w:rPr>
          <w:rFonts w:hint="eastAsia" w:eastAsia="仿宋_GB2312"/>
          <w:kern w:val="0"/>
          <w:sz w:val="28"/>
          <w:szCs w:val="28"/>
        </w:rPr>
        <w:t>通过学习，进一步增强了依法履职的责任感和使命感。人大代表的权力来自人民，我国宪法和法律赋予了人大代表相应的权利，必须依法履职、为民服务。坚持用习近平新时代中国特色社会主义思想武装头脑、指导实践、推动工作，始终把讲政治、顾大局贯穿于依法履职的全过程和各方面；认真学习宪法法律和履职业务知识，不断提高思想政治素质、综合业务素养和政策理论水平，更好的代表人民行使好国家权力。</w:t>
      </w:r>
      <w:bookmarkEnd w:id="38"/>
    </w:p>
    <w:p>
      <w:pPr>
        <w:spacing w:line="360" w:lineRule="auto"/>
        <w:ind w:firstLine="560" w:firstLineChars="200"/>
        <w:outlineLvl w:val="0"/>
        <w:rPr>
          <w:rFonts w:eastAsia="仿宋_GB2312"/>
          <w:kern w:val="0"/>
          <w:sz w:val="28"/>
          <w:szCs w:val="28"/>
        </w:rPr>
      </w:pPr>
      <w:r>
        <w:rPr>
          <w:rFonts w:hint="eastAsia" w:eastAsia="仿宋_GB2312"/>
          <w:kern w:val="0"/>
          <w:sz w:val="28"/>
          <w:szCs w:val="28"/>
        </w:rPr>
        <w:t>学习轮训班始终以习近平新时代中国特色社会主义思想、党的二十大和二十届一中、二中全会以及十四届全国人大一次会议精神、市委十三届三次全会精神为主线。中央党校、市委党校专家学者的专题辅导，系统全面、重点突出、内涵丰富、条理清晰，既有深入浅出的理论阐述,又有联系实际的生动事例，具有很强的思想性、理论性、指导性、实践性。全国人大法工委，市高级人民法院和市人民检察院，市人大财经办公室和信访办、代表工作委员会，市政府办公厅负责同志的授课内容，从不同角度阐述了深入学习习近平新时代中国特色社会主义思想和党的二十大精神的重大意义，深刻总结了人民代表大会制度的优势和特点；讲授了学习贯彻立法法，人大代表积极参与立法工作，学习贯彻代表法，提高代表依法履职能力的具体内容和方法；介绍了“两院”职能与工作情况，如何提出高质量代表建议、如何高质量办理代表建议；如何开展预算审查监督；如何反映或传递信访事项的相关知识。</w:t>
      </w:r>
    </w:p>
    <w:p>
      <w:pPr>
        <w:numPr>
          <w:ilvl w:val="0"/>
          <w:numId w:val="8"/>
        </w:numPr>
        <w:spacing w:line="360" w:lineRule="auto"/>
        <w:ind w:left="0" w:firstLine="560" w:firstLineChars="200"/>
        <w:outlineLvl w:val="0"/>
        <w:rPr>
          <w:rFonts w:eastAsia="仿宋_GB2312"/>
          <w:kern w:val="0"/>
          <w:sz w:val="28"/>
          <w:szCs w:val="28"/>
        </w:rPr>
      </w:pPr>
      <w:bookmarkStart w:id="39" w:name="_Toc6345"/>
      <w:r>
        <w:rPr>
          <w:rFonts w:eastAsia="仿宋_GB2312"/>
          <w:kern w:val="0"/>
          <w:sz w:val="28"/>
          <w:szCs w:val="28"/>
        </w:rPr>
        <w:t>项目产出时效情况</w:t>
      </w:r>
      <w:bookmarkEnd w:id="39"/>
    </w:p>
    <w:p>
      <w:pPr>
        <w:spacing w:line="360" w:lineRule="auto"/>
        <w:ind w:firstLine="560" w:firstLineChars="200"/>
        <w:outlineLvl w:val="0"/>
        <w:rPr>
          <w:rFonts w:eastAsia="仿宋_GB2312"/>
          <w:kern w:val="0"/>
          <w:sz w:val="28"/>
          <w:szCs w:val="28"/>
        </w:rPr>
      </w:pPr>
      <w:r>
        <w:rPr>
          <w:rFonts w:eastAsia="仿宋_GB2312"/>
          <w:kern w:val="0"/>
          <w:sz w:val="28"/>
          <w:szCs w:val="28"/>
        </w:rPr>
        <w:t>市人大常委会对</w:t>
      </w:r>
      <w:r>
        <w:rPr>
          <w:rFonts w:hint="eastAsia" w:eastAsia="仿宋_GB2312"/>
          <w:kern w:val="0"/>
          <w:sz w:val="28"/>
          <w:szCs w:val="28"/>
        </w:rPr>
        <w:t>2023年</w:t>
      </w:r>
      <w:r>
        <w:rPr>
          <w:rFonts w:eastAsia="仿宋_GB2312"/>
          <w:kern w:val="0"/>
          <w:sz w:val="28"/>
          <w:szCs w:val="28"/>
        </w:rPr>
        <w:t>度年初的制定的工作任务进行了验收，</w:t>
      </w:r>
      <w:r>
        <w:rPr>
          <w:rFonts w:hint="eastAsia" w:eastAsia="仿宋_GB2312"/>
          <w:kern w:val="0"/>
          <w:sz w:val="28"/>
          <w:szCs w:val="28"/>
        </w:rPr>
        <w:t>代表工作委员会代表履职学习轮训班</w:t>
      </w:r>
      <w:r>
        <w:rPr>
          <w:rFonts w:eastAsia="仿宋_GB2312"/>
          <w:kern w:val="0"/>
          <w:sz w:val="28"/>
          <w:szCs w:val="28"/>
        </w:rPr>
        <w:t>的</w:t>
      </w:r>
      <w:r>
        <w:rPr>
          <w:rFonts w:hint="eastAsia" w:eastAsia="仿宋_GB2312"/>
          <w:kern w:val="0"/>
          <w:sz w:val="28"/>
          <w:szCs w:val="28"/>
        </w:rPr>
        <w:t>2023年</w:t>
      </w:r>
      <w:r>
        <w:rPr>
          <w:rFonts w:eastAsia="仿宋_GB2312"/>
          <w:kern w:val="0"/>
          <w:sz w:val="28"/>
          <w:szCs w:val="28"/>
        </w:rPr>
        <w:t>度工作任已全部在当年度完成。</w:t>
      </w:r>
      <w:r>
        <w:rPr>
          <w:rFonts w:hint="eastAsia" w:eastAsia="仿宋_GB2312"/>
          <w:kern w:val="0"/>
          <w:sz w:val="28"/>
          <w:szCs w:val="28"/>
        </w:rPr>
        <w:t>培训班实际完成情况</w:t>
      </w:r>
      <w:r>
        <w:rPr>
          <w:rFonts w:eastAsia="仿宋_GB2312"/>
          <w:kern w:val="0"/>
          <w:sz w:val="28"/>
          <w:szCs w:val="28"/>
        </w:rPr>
        <w:t>具体为：</w:t>
      </w:r>
    </w:p>
    <w:p>
      <w:pPr>
        <w:spacing w:line="360" w:lineRule="auto"/>
        <w:ind w:firstLine="560" w:firstLineChars="200"/>
        <w:outlineLvl w:val="0"/>
        <w:rPr>
          <w:rFonts w:eastAsia="仿宋_GB2312"/>
          <w:kern w:val="0"/>
          <w:sz w:val="28"/>
          <w:szCs w:val="28"/>
        </w:rPr>
      </w:pPr>
      <w:bookmarkStart w:id="40" w:name="_Toc16921"/>
      <w:r>
        <w:rPr>
          <w:rFonts w:hint="eastAsia" w:eastAsia="仿宋_GB2312"/>
          <w:kern w:val="0"/>
          <w:sz w:val="28"/>
          <w:szCs w:val="28"/>
        </w:rPr>
        <w:t>第一期：5 月 29 日至 6 月 2 日；第二期：6 月 26 日至 6 月 30 日；第三期：7月 24 日至 7 月 28 日。第一至三期学习班安排在全国人大北京培训基地。第四期：8 月 28 日至 9 月 1 日，安排在市委党校。北京人大网上课堂正常运转，取得了较好学习成效。</w:t>
      </w:r>
      <w:bookmarkEnd w:id="40"/>
    </w:p>
    <w:p>
      <w:pPr>
        <w:numPr>
          <w:ilvl w:val="0"/>
          <w:numId w:val="8"/>
        </w:numPr>
        <w:spacing w:line="360" w:lineRule="auto"/>
        <w:ind w:left="0" w:firstLine="560" w:firstLineChars="200"/>
        <w:outlineLvl w:val="0"/>
        <w:rPr>
          <w:rFonts w:eastAsia="仿宋_GB2312"/>
          <w:kern w:val="0"/>
          <w:sz w:val="28"/>
          <w:szCs w:val="28"/>
        </w:rPr>
      </w:pPr>
      <w:bookmarkStart w:id="41" w:name="_Toc12109"/>
      <w:r>
        <w:rPr>
          <w:rFonts w:eastAsia="仿宋_GB2312"/>
          <w:kern w:val="0"/>
          <w:sz w:val="28"/>
          <w:szCs w:val="28"/>
        </w:rPr>
        <w:t>项目产出成本情况</w:t>
      </w:r>
      <w:bookmarkEnd w:id="41"/>
    </w:p>
    <w:p>
      <w:pPr>
        <w:spacing w:line="360" w:lineRule="auto"/>
        <w:ind w:firstLine="560" w:firstLineChars="200"/>
        <w:outlineLvl w:val="0"/>
        <w:rPr>
          <w:rFonts w:eastAsia="仿宋_GB2312"/>
          <w:kern w:val="0"/>
          <w:sz w:val="28"/>
          <w:szCs w:val="28"/>
        </w:rPr>
      </w:pPr>
      <w:bookmarkStart w:id="42" w:name="_Toc22803"/>
      <w:r>
        <w:rPr>
          <w:rFonts w:eastAsia="仿宋_GB2312"/>
          <w:kern w:val="0"/>
          <w:sz w:val="28"/>
          <w:szCs w:val="28"/>
        </w:rPr>
        <w:t>在项目资金管理过程中，市人大常委会、</w:t>
      </w:r>
      <w:r>
        <w:rPr>
          <w:rFonts w:hint="eastAsia" w:eastAsia="仿宋_GB2312"/>
          <w:kern w:val="0"/>
          <w:sz w:val="28"/>
          <w:szCs w:val="28"/>
        </w:rPr>
        <w:t>代表工作委员会按</w:t>
      </w:r>
      <w:r>
        <w:rPr>
          <w:rFonts w:eastAsia="仿宋_GB2312"/>
          <w:kern w:val="0"/>
          <w:sz w:val="28"/>
          <w:szCs w:val="28"/>
        </w:rPr>
        <w:t>照国家、地方有关财政法规，对项目预算、支出、票据、经费执行及审批等进行管理，按照专款专用的原则进行财务核算，各单项支出基本控制在预算范围内。</w:t>
      </w:r>
      <w:bookmarkEnd w:id="42"/>
    </w:p>
    <w:p>
      <w:pPr>
        <w:numPr>
          <w:ilvl w:val="0"/>
          <w:numId w:val="5"/>
        </w:numPr>
        <w:spacing w:line="600" w:lineRule="exact"/>
        <w:ind w:firstLine="560" w:firstLineChars="200"/>
        <w:outlineLvl w:val="1"/>
        <w:rPr>
          <w:rFonts w:eastAsia="仿宋_GB2312"/>
          <w:kern w:val="0"/>
          <w:sz w:val="28"/>
          <w:szCs w:val="28"/>
        </w:rPr>
      </w:pPr>
      <w:bookmarkStart w:id="43" w:name="_Toc631"/>
      <w:r>
        <w:rPr>
          <w:rFonts w:eastAsia="仿宋_GB2312"/>
          <w:kern w:val="0"/>
          <w:sz w:val="28"/>
          <w:szCs w:val="28"/>
        </w:rPr>
        <w:t>项目效益情况</w:t>
      </w:r>
      <w:bookmarkEnd w:id="43"/>
    </w:p>
    <w:p>
      <w:pPr>
        <w:numPr>
          <w:ilvl w:val="0"/>
          <w:numId w:val="9"/>
        </w:numPr>
        <w:spacing w:line="360" w:lineRule="auto"/>
        <w:ind w:firstLine="560" w:firstLineChars="200"/>
        <w:outlineLvl w:val="0"/>
        <w:rPr>
          <w:rFonts w:eastAsia="仿宋_GB2312"/>
          <w:kern w:val="0"/>
          <w:sz w:val="28"/>
          <w:szCs w:val="28"/>
        </w:rPr>
      </w:pPr>
      <w:bookmarkStart w:id="44" w:name="_Toc9690"/>
      <w:r>
        <w:rPr>
          <w:rFonts w:eastAsia="仿宋_GB2312"/>
          <w:kern w:val="0"/>
          <w:sz w:val="28"/>
          <w:szCs w:val="28"/>
        </w:rPr>
        <w:t>项目社会效益及可持续影响目标实现情况</w:t>
      </w:r>
      <w:bookmarkEnd w:id="44"/>
    </w:p>
    <w:p>
      <w:pPr>
        <w:spacing w:line="360" w:lineRule="auto"/>
        <w:ind w:firstLine="560" w:firstLineChars="200"/>
        <w:outlineLvl w:val="0"/>
        <w:rPr>
          <w:rFonts w:eastAsia="仿宋_GB2312"/>
          <w:kern w:val="0"/>
          <w:sz w:val="28"/>
          <w:szCs w:val="28"/>
        </w:rPr>
      </w:pPr>
      <w:bookmarkStart w:id="45" w:name="_Toc18894"/>
      <w:r>
        <w:rPr>
          <w:rFonts w:eastAsia="仿宋_GB2312"/>
          <w:kern w:val="0"/>
          <w:sz w:val="28"/>
          <w:szCs w:val="28"/>
        </w:rPr>
        <w:t>（1）社会效益</w:t>
      </w:r>
      <w:bookmarkEnd w:id="45"/>
    </w:p>
    <w:p>
      <w:pPr>
        <w:spacing w:line="360" w:lineRule="auto"/>
        <w:ind w:firstLine="560" w:firstLineChars="200"/>
        <w:outlineLvl w:val="0"/>
        <w:rPr>
          <w:rFonts w:eastAsia="仿宋_GB2312"/>
          <w:kern w:val="0"/>
          <w:sz w:val="28"/>
          <w:szCs w:val="28"/>
        </w:rPr>
      </w:pPr>
      <w:bookmarkStart w:id="46" w:name="_Toc19848"/>
      <w:r>
        <w:rPr>
          <w:rFonts w:eastAsia="仿宋_GB2312"/>
          <w:kern w:val="0"/>
          <w:sz w:val="28"/>
          <w:szCs w:val="28"/>
        </w:rPr>
        <w:t>通过</w:t>
      </w:r>
      <w:r>
        <w:rPr>
          <w:rFonts w:hint="eastAsia" w:eastAsia="仿宋_GB2312"/>
          <w:kern w:val="0"/>
          <w:sz w:val="28"/>
          <w:szCs w:val="28"/>
        </w:rPr>
        <w:t>2023年</w:t>
      </w:r>
      <w:r>
        <w:rPr>
          <w:rFonts w:eastAsia="仿宋_GB2312"/>
          <w:kern w:val="0"/>
          <w:sz w:val="28"/>
          <w:szCs w:val="28"/>
        </w:rPr>
        <w:t>度工作实施，</w:t>
      </w:r>
      <w:bookmarkEnd w:id="46"/>
      <w:r>
        <w:rPr>
          <w:rFonts w:hint="eastAsia" w:eastAsia="仿宋_GB2312"/>
          <w:kern w:val="0"/>
          <w:sz w:val="28"/>
          <w:szCs w:val="28"/>
        </w:rPr>
        <w:t>学习轮训班坚持把加强代表政治建设摆在首位，按照学习贯彻习近平新时代中国特色社会主义思想主题教育的要求，以习近平新时代中国特色社会主义思想为指导，深入学习贯彻党的二十大精神，重点学习习近平法治思想、习近平总书记关于坚持和完善人民代表大会制度的重要思想、习近平关于北京工作论述摘编,学习市委十三届三次全会精神；紧扣代表依法履职实际，学习宪法、国家机构组织制度和工作、代表履职相关法律制度；加强代表履职应用知识学习，学习代表闭会期间活动与履职规范、预算审查监督、代表建议工作、如何转交群众来信等履职工作内容。通过学习轮训，帮助新任代表尽快熟悉人大制度和人大工作，加强思想作风建设，提升了依法履职的能力。</w:t>
      </w:r>
    </w:p>
    <w:p>
      <w:pPr>
        <w:spacing w:line="360" w:lineRule="auto"/>
        <w:ind w:firstLine="560" w:firstLineChars="200"/>
        <w:outlineLvl w:val="0"/>
        <w:rPr>
          <w:rFonts w:eastAsia="仿宋_GB2312"/>
          <w:kern w:val="0"/>
          <w:sz w:val="28"/>
          <w:szCs w:val="28"/>
        </w:rPr>
      </w:pPr>
      <w:bookmarkStart w:id="47" w:name="_Toc26055"/>
      <w:r>
        <w:rPr>
          <w:rFonts w:eastAsia="仿宋_GB2312"/>
          <w:kern w:val="0"/>
          <w:sz w:val="28"/>
          <w:szCs w:val="28"/>
        </w:rPr>
        <w:t>（2）可持续影响效益</w:t>
      </w:r>
      <w:bookmarkEnd w:id="47"/>
    </w:p>
    <w:p>
      <w:pPr>
        <w:spacing w:line="360" w:lineRule="auto"/>
        <w:ind w:firstLine="560" w:firstLineChars="200"/>
        <w:outlineLvl w:val="0"/>
        <w:rPr>
          <w:rFonts w:eastAsia="仿宋_GB2312"/>
          <w:kern w:val="0"/>
          <w:sz w:val="28"/>
          <w:szCs w:val="28"/>
        </w:rPr>
      </w:pPr>
      <w:bookmarkStart w:id="48" w:name="_Toc7221"/>
      <w:r>
        <w:rPr>
          <w:rFonts w:hint="eastAsia" w:eastAsia="仿宋_GB2312"/>
          <w:kern w:val="0"/>
          <w:sz w:val="28"/>
          <w:szCs w:val="28"/>
        </w:rPr>
        <w:t>通过学习，代表们一是进一步加深了对人民代表大会制度重要意义、地位、作用以及特点的认识，增强了对长期坚持、全面贯彻、不断完善人民代表大会制度，推进社会主义民主政治建设的决心和信心。二是对人大代表的权利和义务有了更加准确的理解。代表们进一步增强了依法履职的责任感和使命感。三是对全过程人民民主的重大意义有了更加深刻的把握。全过程人民民主是社会主义民主政治的本质属性，是新时代我们党领导人民推进社会主义政治建设取得的重大理论和实践创新成果，是全链条、全方位、全覆盖的民主，是最广泛、最真实、最管用的社会主义民主。紧紧围绕市委、市人大常委会的工作部署和全市工作大局，充分发挥人大代表的模范带头作用，把人民放在心中最高位置，广泛听取群众的意见建议，正确表达群众的意志，真实反映群众的愿望要求，在民主选举、民主协商、民主决策、民主管理、民主监督等各环节中践行全过程人民民主，保证人民赋予的权力始终用来为人民谋利益。</w:t>
      </w:r>
      <w:bookmarkEnd w:id="48"/>
    </w:p>
    <w:p>
      <w:pPr>
        <w:numPr>
          <w:ilvl w:val="0"/>
          <w:numId w:val="9"/>
        </w:numPr>
        <w:spacing w:line="360" w:lineRule="auto"/>
        <w:ind w:firstLine="560" w:firstLineChars="200"/>
        <w:outlineLvl w:val="0"/>
        <w:rPr>
          <w:rFonts w:eastAsia="仿宋_GB2312"/>
          <w:kern w:val="0"/>
          <w:sz w:val="28"/>
          <w:szCs w:val="28"/>
        </w:rPr>
      </w:pPr>
      <w:bookmarkStart w:id="49" w:name="_Toc30960"/>
      <w:r>
        <w:rPr>
          <w:rFonts w:eastAsia="仿宋_GB2312"/>
          <w:kern w:val="0"/>
          <w:sz w:val="28"/>
          <w:szCs w:val="28"/>
        </w:rPr>
        <w:t>服务对象满意度情况</w:t>
      </w:r>
      <w:bookmarkEnd w:id="49"/>
    </w:p>
    <w:p>
      <w:pPr>
        <w:spacing w:line="360" w:lineRule="auto"/>
        <w:ind w:firstLine="560" w:firstLineChars="200"/>
        <w:outlineLvl w:val="0"/>
        <w:rPr>
          <w:rFonts w:eastAsia="仿宋_GB2312"/>
          <w:kern w:val="0"/>
          <w:sz w:val="28"/>
          <w:szCs w:val="28"/>
        </w:rPr>
      </w:pPr>
      <w:bookmarkStart w:id="50" w:name="_Toc17704"/>
      <w:r>
        <w:rPr>
          <w:rFonts w:hint="eastAsia" w:eastAsia="仿宋_GB2312"/>
          <w:kern w:val="0"/>
          <w:sz w:val="28"/>
          <w:szCs w:val="28"/>
        </w:rPr>
        <w:t>参加学习的代表一致认为，学习班突出政治培训，课程安排紧贴代表履职实际，学习内容指导性、针对性都很强，为代表依法履职提供了有力支持；通过学习切实提高了履行代表职务的水平和能力，进一步丰富了履职的方法和手段。有关代表履职学习班工作问卷调查统计结果显示，代表们对课程内容和组织安排的满意度均为99%</w:t>
      </w:r>
      <w:r>
        <w:rPr>
          <w:rFonts w:eastAsia="仿宋_GB2312"/>
          <w:kern w:val="0"/>
          <w:sz w:val="28"/>
          <w:szCs w:val="28"/>
        </w:rPr>
        <w:t>。</w:t>
      </w:r>
      <w:bookmarkEnd w:id="50"/>
    </w:p>
    <w:p>
      <w:pPr>
        <w:spacing w:line="360" w:lineRule="auto"/>
        <w:ind w:firstLine="560" w:firstLineChars="200"/>
        <w:outlineLvl w:val="0"/>
        <w:rPr>
          <w:rFonts w:eastAsia="仿宋_GB2312"/>
          <w:kern w:val="0"/>
          <w:sz w:val="28"/>
          <w:szCs w:val="28"/>
        </w:rPr>
      </w:pPr>
      <w:r>
        <w:rPr>
          <w:rFonts w:hint="eastAsia" w:eastAsia="仿宋_GB2312"/>
          <w:kern w:val="0"/>
          <w:sz w:val="28"/>
          <w:szCs w:val="28"/>
        </w:rPr>
        <w:t>在学习班组织的分组讨论中，代表对进一步加强市人大代表履职学习培训提出了一些意见建议。有的代表建议，要更加深入组织学习习近平法治思想及全过程人民民主重要论述，切实提高代表的政治站位和履职能力。有的代表建议，履职学习轮训班可增加介绍国际国内形势、市情及经济社会发展情况等内容。有的代表建议，进一步丰富培训形式，适当增加外出参观见学和案例教学。有的代表建议，发挥老代表传帮带作用，为新代表依法高效履职提供帮助。主题教育期间，代表工作委员会对市人大代表提出的意见建议进行了认真梳理，认真研究，逐项提出了落实举措。</w:t>
      </w:r>
    </w:p>
    <w:p>
      <w:pPr>
        <w:pStyle w:val="2"/>
        <w:rPr>
          <w:rFonts w:eastAsia="仿宋_GB2312"/>
          <w:sz w:val="28"/>
          <w:szCs w:val="28"/>
        </w:rPr>
      </w:pPr>
    </w:p>
    <w:p>
      <w:pPr>
        <w:pStyle w:val="2"/>
        <w:rPr>
          <w:rFonts w:eastAsia="仿宋_GB2312"/>
          <w:sz w:val="28"/>
          <w:szCs w:val="28"/>
        </w:rPr>
      </w:pPr>
    </w:p>
    <w:p>
      <w:pPr>
        <w:numPr>
          <w:ilvl w:val="0"/>
          <w:numId w:val="3"/>
        </w:numPr>
        <w:spacing w:line="360" w:lineRule="auto"/>
        <w:ind w:firstLine="562" w:firstLineChars="200"/>
        <w:outlineLvl w:val="0"/>
        <w:rPr>
          <w:rFonts w:eastAsia="仿宋_GB2312"/>
          <w:b/>
          <w:kern w:val="0"/>
          <w:sz w:val="28"/>
          <w:szCs w:val="28"/>
        </w:rPr>
      </w:pPr>
      <w:bookmarkStart w:id="51" w:name="_Toc19957"/>
      <w:r>
        <w:rPr>
          <w:rFonts w:eastAsia="仿宋_GB2312"/>
          <w:b/>
          <w:kern w:val="0"/>
          <w:sz w:val="28"/>
          <w:szCs w:val="28"/>
        </w:rPr>
        <w:t>主要存在的问题及原因分析</w:t>
      </w:r>
      <w:bookmarkEnd w:id="51"/>
    </w:p>
    <w:p>
      <w:pPr>
        <w:numPr>
          <w:ilvl w:val="0"/>
          <w:numId w:val="10"/>
        </w:numPr>
        <w:adjustRightInd w:val="0"/>
        <w:spacing w:line="360" w:lineRule="auto"/>
        <w:rPr>
          <w:rFonts w:eastAsia="仿宋_GB2312"/>
          <w:bCs/>
          <w:kern w:val="0"/>
          <w:sz w:val="28"/>
          <w:szCs w:val="28"/>
        </w:rPr>
      </w:pPr>
      <w:r>
        <w:rPr>
          <w:rFonts w:eastAsia="仿宋_GB2312"/>
          <w:bCs/>
          <w:kern w:val="0"/>
          <w:sz w:val="28"/>
          <w:szCs w:val="28"/>
        </w:rPr>
        <w:t>绩效目标设定不够</w:t>
      </w:r>
      <w:r>
        <w:rPr>
          <w:rFonts w:hint="eastAsia" w:eastAsia="仿宋_GB2312"/>
          <w:bCs/>
          <w:kern w:val="0"/>
          <w:sz w:val="28"/>
          <w:szCs w:val="28"/>
        </w:rPr>
        <w:t>合理</w:t>
      </w:r>
    </w:p>
    <w:p>
      <w:pPr>
        <w:adjustRightInd w:val="0"/>
        <w:spacing w:line="360" w:lineRule="auto"/>
        <w:ind w:firstLine="560" w:firstLineChars="200"/>
        <w:rPr>
          <w:rFonts w:eastAsia="仿宋_GB2312"/>
          <w:bCs/>
          <w:kern w:val="0"/>
          <w:sz w:val="28"/>
          <w:szCs w:val="28"/>
        </w:rPr>
      </w:pPr>
      <w:r>
        <w:rPr>
          <w:rFonts w:hint="eastAsia" w:eastAsia="仿宋_GB2312"/>
          <w:bCs/>
          <w:kern w:val="0"/>
          <w:sz w:val="28"/>
          <w:szCs w:val="28"/>
        </w:rPr>
        <w:t>项目绩效指标设置需进一步完善。产出指标的对应性不足，如针对北京人大网上课堂，产出数量中未明确网上课堂质量验收标准；产出数量指标设置无对应的质量指标，质量指标设置无明确的质量标准，造成设置不够细化、量化不足、缺乏可考核性。</w:t>
      </w:r>
    </w:p>
    <w:p>
      <w:pPr>
        <w:numPr>
          <w:ilvl w:val="0"/>
          <w:numId w:val="10"/>
        </w:numPr>
        <w:adjustRightInd w:val="0"/>
        <w:spacing w:line="360" w:lineRule="auto"/>
        <w:rPr>
          <w:rFonts w:eastAsia="仿宋_GB2312"/>
          <w:bCs/>
          <w:kern w:val="0"/>
          <w:sz w:val="28"/>
          <w:szCs w:val="28"/>
        </w:rPr>
      </w:pPr>
      <w:r>
        <w:rPr>
          <w:rFonts w:hint="eastAsia" w:eastAsia="仿宋_GB2312"/>
          <w:bCs/>
          <w:kern w:val="0"/>
          <w:sz w:val="28"/>
          <w:szCs w:val="28"/>
        </w:rPr>
        <w:t>培训计划的针对性不足</w:t>
      </w:r>
    </w:p>
    <w:p>
      <w:pPr>
        <w:adjustRightInd w:val="0"/>
        <w:spacing w:line="360" w:lineRule="auto"/>
        <w:ind w:firstLine="560" w:firstLineChars="200"/>
        <w:rPr>
          <w:rFonts w:eastAsia="仿宋_GB2312"/>
          <w:bCs/>
          <w:kern w:val="0"/>
          <w:sz w:val="28"/>
          <w:szCs w:val="28"/>
        </w:rPr>
      </w:pPr>
      <w:r>
        <w:rPr>
          <w:rFonts w:hint="eastAsia" w:eastAsia="仿宋_GB2312"/>
          <w:bCs/>
          <w:kern w:val="0"/>
          <w:sz w:val="28"/>
          <w:szCs w:val="28"/>
        </w:rPr>
        <w:t>网上课堂培训实施方案不够完善，未体现具体课程设计方案，对代表履职培训工作的针对性有待提高，需注意培训目标和结果的一致性、系统性、专业性</w:t>
      </w:r>
      <w:bookmarkStart w:id="55" w:name="_GoBack"/>
      <w:bookmarkEnd w:id="55"/>
      <w:r>
        <w:rPr>
          <w:rFonts w:hint="eastAsia" w:eastAsia="仿宋_GB2312"/>
          <w:bCs/>
          <w:kern w:val="0"/>
          <w:sz w:val="28"/>
          <w:szCs w:val="28"/>
        </w:rPr>
        <w:t>。</w:t>
      </w:r>
    </w:p>
    <w:p>
      <w:pPr>
        <w:numPr>
          <w:ilvl w:val="0"/>
          <w:numId w:val="10"/>
        </w:numPr>
        <w:adjustRightInd w:val="0"/>
        <w:spacing w:line="360" w:lineRule="auto"/>
        <w:rPr>
          <w:rFonts w:eastAsia="仿宋_GB2312"/>
          <w:bCs/>
          <w:kern w:val="0"/>
          <w:sz w:val="28"/>
          <w:szCs w:val="28"/>
        </w:rPr>
      </w:pPr>
      <w:r>
        <w:rPr>
          <w:rFonts w:hint="eastAsia" w:eastAsia="仿宋_GB2312"/>
          <w:bCs/>
          <w:kern w:val="0"/>
          <w:sz w:val="28"/>
          <w:szCs w:val="28"/>
        </w:rPr>
        <w:t>合同管理方面存在不足</w:t>
      </w:r>
    </w:p>
    <w:p>
      <w:pPr>
        <w:adjustRightInd w:val="0"/>
        <w:spacing w:line="360" w:lineRule="auto"/>
        <w:ind w:firstLine="560" w:firstLineChars="200"/>
        <w:rPr>
          <w:rFonts w:eastAsia="仿宋_GB2312"/>
          <w:bCs/>
          <w:kern w:val="0"/>
          <w:sz w:val="28"/>
          <w:szCs w:val="28"/>
        </w:rPr>
      </w:pPr>
      <w:r>
        <w:rPr>
          <w:rFonts w:hint="eastAsia" w:eastAsia="仿宋_GB2312"/>
          <w:bCs/>
          <w:kern w:val="0"/>
          <w:sz w:val="28"/>
          <w:szCs w:val="28"/>
        </w:rPr>
        <w:t>（1）网上课堂服务合同审批决策时间滞后于与和合同签订时间，2023年北京人大网上课堂服务合同于2023年11月3日签订，服务期限为“2023年9月1日至2024年8月31日”，合同审批单签字时间为11月3日。</w:t>
      </w:r>
    </w:p>
    <w:p>
      <w:pPr>
        <w:adjustRightInd w:val="0"/>
        <w:spacing w:line="360" w:lineRule="auto"/>
        <w:ind w:firstLine="560" w:firstLineChars="200"/>
        <w:rPr>
          <w:rFonts w:eastAsia="仿宋_GB2312"/>
          <w:bCs/>
          <w:kern w:val="0"/>
          <w:sz w:val="28"/>
          <w:szCs w:val="28"/>
        </w:rPr>
      </w:pPr>
      <w:r>
        <w:rPr>
          <w:rFonts w:hint="eastAsia" w:eastAsia="仿宋_GB2312"/>
          <w:bCs/>
          <w:kern w:val="0"/>
          <w:sz w:val="28"/>
          <w:szCs w:val="28"/>
        </w:rPr>
        <w:t>（2）本年度北京人大网上课堂服务方未开展遴选工作。</w:t>
      </w:r>
    </w:p>
    <w:p>
      <w:pPr>
        <w:adjustRightInd w:val="0"/>
        <w:spacing w:line="360" w:lineRule="auto"/>
        <w:ind w:firstLine="560" w:firstLineChars="200"/>
        <w:rPr>
          <w:rFonts w:eastAsia="仿宋_GB2312"/>
          <w:bCs/>
          <w:kern w:val="0"/>
          <w:sz w:val="28"/>
          <w:szCs w:val="28"/>
        </w:rPr>
      </w:pPr>
      <w:r>
        <w:rPr>
          <w:rFonts w:hint="eastAsia" w:eastAsia="仿宋_GB2312"/>
          <w:bCs/>
          <w:kern w:val="0"/>
          <w:sz w:val="28"/>
          <w:szCs w:val="28"/>
        </w:rPr>
        <w:t>（3）合同款支付条款与实施周期不匹配，合同约定“双方签订协议30日后支付合同款”，实施周期为2023年9月至2024年8月，2023年11月27日财务账显示支付合同款35万元，不利于合理维护权益，存在合同履行方面风险。</w:t>
      </w:r>
    </w:p>
    <w:p>
      <w:pPr>
        <w:pStyle w:val="2"/>
      </w:pPr>
    </w:p>
    <w:p>
      <w:pPr>
        <w:numPr>
          <w:ilvl w:val="0"/>
          <w:numId w:val="10"/>
        </w:numPr>
        <w:adjustRightInd w:val="0"/>
        <w:spacing w:line="360" w:lineRule="auto"/>
        <w:outlineLvl w:val="1"/>
        <w:rPr>
          <w:rFonts w:eastAsia="仿宋_GB2312"/>
          <w:bCs/>
          <w:kern w:val="0"/>
          <w:sz w:val="28"/>
          <w:szCs w:val="28"/>
        </w:rPr>
      </w:pPr>
      <w:bookmarkStart w:id="52" w:name="_Toc19799"/>
      <w:r>
        <w:rPr>
          <w:rFonts w:eastAsia="仿宋_GB2312"/>
          <w:bCs/>
          <w:kern w:val="0"/>
          <w:sz w:val="28"/>
          <w:szCs w:val="28"/>
        </w:rPr>
        <w:t>在项目过程管理方面，个别委托工作过程性资料不</w:t>
      </w:r>
      <w:r>
        <w:rPr>
          <w:rFonts w:hint="eastAsia" w:eastAsia="仿宋_GB2312"/>
          <w:bCs/>
          <w:kern w:val="0"/>
          <w:sz w:val="28"/>
          <w:szCs w:val="28"/>
        </w:rPr>
        <w:t>够</w:t>
      </w:r>
      <w:r>
        <w:rPr>
          <w:rFonts w:eastAsia="仿宋_GB2312"/>
          <w:bCs/>
          <w:kern w:val="0"/>
          <w:sz w:val="28"/>
          <w:szCs w:val="28"/>
        </w:rPr>
        <w:t>完整</w:t>
      </w:r>
      <w:bookmarkEnd w:id="52"/>
    </w:p>
    <w:p>
      <w:pPr>
        <w:adjustRightInd w:val="0"/>
        <w:spacing w:line="360" w:lineRule="auto"/>
        <w:ind w:firstLine="560" w:firstLineChars="200"/>
        <w:rPr>
          <w:rFonts w:eastAsia="仿宋_GB2312"/>
          <w:bCs/>
          <w:kern w:val="0"/>
          <w:sz w:val="28"/>
          <w:szCs w:val="28"/>
        </w:rPr>
      </w:pPr>
      <w:r>
        <w:rPr>
          <w:rFonts w:hint="eastAsia" w:eastAsia="仿宋_GB2312"/>
          <w:bCs/>
          <w:kern w:val="0"/>
          <w:sz w:val="28"/>
          <w:szCs w:val="28"/>
        </w:rPr>
        <w:t>绩效成果展现不够充分，主要为项目完成后反映履职能力提升效果的支撑材料不充分，缺少北京人大网上课堂项目验收、线下培训学习材料发放记录等。</w:t>
      </w:r>
    </w:p>
    <w:p>
      <w:pPr>
        <w:spacing w:line="360" w:lineRule="auto"/>
        <w:ind w:firstLine="560" w:firstLineChars="200"/>
      </w:pPr>
      <w:r>
        <w:rPr>
          <w:rFonts w:hint="eastAsia" w:eastAsia="仿宋_GB2312"/>
          <w:bCs/>
          <w:kern w:val="0"/>
          <w:sz w:val="28"/>
          <w:szCs w:val="28"/>
        </w:rPr>
        <w:t>满意度调查统计缺少问卷发放、回收数量及分析等信息,问卷设计针对性及科学性有待提高。</w:t>
      </w:r>
    </w:p>
    <w:p>
      <w:pPr>
        <w:numPr>
          <w:ilvl w:val="0"/>
          <w:numId w:val="3"/>
        </w:numPr>
        <w:spacing w:line="600" w:lineRule="exact"/>
        <w:ind w:firstLine="562" w:firstLineChars="200"/>
        <w:outlineLvl w:val="0"/>
        <w:rPr>
          <w:rFonts w:eastAsia="仿宋_GB2312"/>
          <w:b/>
          <w:kern w:val="0"/>
          <w:sz w:val="28"/>
          <w:szCs w:val="28"/>
        </w:rPr>
      </w:pPr>
      <w:bookmarkStart w:id="53" w:name="_Toc28866"/>
      <w:r>
        <w:rPr>
          <w:rFonts w:eastAsia="仿宋_GB2312"/>
          <w:b/>
          <w:kern w:val="0"/>
          <w:sz w:val="28"/>
          <w:szCs w:val="28"/>
        </w:rPr>
        <w:t>有关建议</w:t>
      </w:r>
      <w:bookmarkEnd w:id="53"/>
    </w:p>
    <w:p>
      <w:pPr>
        <w:numPr>
          <w:ilvl w:val="0"/>
          <w:numId w:val="11"/>
        </w:numPr>
        <w:spacing w:line="360" w:lineRule="auto"/>
        <w:rPr>
          <w:rFonts w:eastAsia="仿宋_GB2312"/>
          <w:bCs/>
          <w:kern w:val="0"/>
          <w:sz w:val="28"/>
          <w:szCs w:val="28"/>
        </w:rPr>
      </w:pPr>
      <w:r>
        <w:rPr>
          <w:rFonts w:eastAsia="仿宋_GB2312"/>
          <w:bCs/>
          <w:kern w:val="0"/>
          <w:sz w:val="28"/>
          <w:szCs w:val="28"/>
        </w:rPr>
        <w:t>加强绩效目标设置的合理性</w:t>
      </w:r>
    </w:p>
    <w:p>
      <w:pPr>
        <w:spacing w:line="360" w:lineRule="auto"/>
        <w:ind w:firstLine="560" w:firstLineChars="200"/>
        <w:rPr>
          <w:rFonts w:eastAsia="仿宋_GB2312"/>
          <w:bCs/>
          <w:kern w:val="0"/>
          <w:sz w:val="28"/>
          <w:szCs w:val="28"/>
        </w:rPr>
      </w:pPr>
      <w:r>
        <w:rPr>
          <w:rFonts w:hint="eastAsia" w:eastAsia="仿宋_GB2312"/>
          <w:bCs/>
          <w:kern w:val="0"/>
          <w:sz w:val="28"/>
          <w:szCs w:val="28"/>
        </w:rPr>
        <w:t>进一步提高预算绩效意识，合理设定项目绩效指标和各项产出指标，提高产出数量指标与质量指标的对应性，明确质量标准，提炼与实施内容相对应的核心量化指标，提高可衡量、可考核性，充分发挥绩效目标导向作用。</w:t>
      </w:r>
    </w:p>
    <w:p>
      <w:pPr>
        <w:numPr>
          <w:ilvl w:val="0"/>
          <w:numId w:val="11"/>
        </w:numPr>
        <w:spacing w:line="360" w:lineRule="auto"/>
        <w:rPr>
          <w:rFonts w:eastAsia="仿宋_GB2312"/>
          <w:bCs/>
          <w:kern w:val="0"/>
          <w:sz w:val="28"/>
          <w:szCs w:val="28"/>
        </w:rPr>
      </w:pPr>
      <w:r>
        <w:rPr>
          <w:rFonts w:eastAsia="仿宋_GB2312"/>
          <w:bCs/>
          <w:kern w:val="0"/>
          <w:sz w:val="28"/>
          <w:szCs w:val="28"/>
        </w:rPr>
        <w:t>提高项目</w:t>
      </w:r>
      <w:r>
        <w:rPr>
          <w:rFonts w:hint="eastAsia" w:eastAsia="仿宋_GB2312"/>
          <w:bCs/>
          <w:kern w:val="0"/>
          <w:sz w:val="28"/>
          <w:szCs w:val="28"/>
        </w:rPr>
        <w:t>实施过程管理的精细化</w:t>
      </w:r>
    </w:p>
    <w:p>
      <w:pPr>
        <w:spacing w:line="360" w:lineRule="auto"/>
        <w:ind w:firstLine="560" w:firstLineChars="200"/>
        <w:rPr>
          <w:rFonts w:eastAsia="仿宋_GB2312"/>
          <w:bCs/>
          <w:kern w:val="0"/>
          <w:sz w:val="28"/>
          <w:szCs w:val="28"/>
        </w:rPr>
      </w:pPr>
      <w:r>
        <w:rPr>
          <w:rFonts w:hint="eastAsia" w:eastAsia="仿宋_GB2312"/>
          <w:bCs/>
          <w:kern w:val="0"/>
          <w:sz w:val="28"/>
          <w:szCs w:val="28"/>
        </w:rPr>
        <w:t>进一步增强代表培训工作中培训师资安排及课程设计的针对性，时效性，实用性，达到学有所获、学以致用、学用结合、以学促用</w:t>
      </w:r>
      <w:r>
        <w:rPr>
          <w:rFonts w:eastAsia="仿宋_GB2312"/>
          <w:bCs/>
          <w:kern w:val="0"/>
          <w:sz w:val="28"/>
          <w:szCs w:val="28"/>
        </w:rPr>
        <w:t>。</w:t>
      </w:r>
    </w:p>
    <w:p>
      <w:pPr>
        <w:numPr>
          <w:ilvl w:val="0"/>
          <w:numId w:val="11"/>
        </w:numPr>
        <w:spacing w:line="360" w:lineRule="auto"/>
        <w:rPr>
          <w:rFonts w:eastAsia="仿宋_GB2312"/>
          <w:bCs/>
          <w:kern w:val="0"/>
          <w:sz w:val="28"/>
          <w:szCs w:val="28"/>
        </w:rPr>
      </w:pPr>
      <w:r>
        <w:rPr>
          <w:rFonts w:eastAsia="仿宋_GB2312"/>
          <w:bCs/>
          <w:kern w:val="0"/>
          <w:sz w:val="28"/>
          <w:szCs w:val="28"/>
        </w:rPr>
        <w:t>规划项目</w:t>
      </w:r>
      <w:r>
        <w:rPr>
          <w:rFonts w:hint="eastAsia" w:eastAsia="仿宋_GB2312"/>
          <w:bCs/>
          <w:kern w:val="0"/>
          <w:sz w:val="28"/>
          <w:szCs w:val="28"/>
        </w:rPr>
        <w:t>过程管理</w:t>
      </w:r>
    </w:p>
    <w:p>
      <w:pPr>
        <w:spacing w:line="360" w:lineRule="auto"/>
        <w:ind w:firstLine="560" w:firstLineChars="200"/>
        <w:rPr>
          <w:rFonts w:eastAsia="仿宋_GB2312"/>
          <w:bCs/>
          <w:kern w:val="0"/>
          <w:sz w:val="28"/>
          <w:szCs w:val="28"/>
        </w:rPr>
      </w:pPr>
      <w:r>
        <w:rPr>
          <w:rFonts w:hint="eastAsia" w:eastAsia="仿宋_GB2312"/>
          <w:bCs/>
          <w:kern w:val="0"/>
          <w:sz w:val="28"/>
          <w:szCs w:val="28"/>
        </w:rPr>
        <w:t>规范合同签订和审批，注意合同签订日期与服务期限的匹配性，合同款支付与实施周期的匹配性，完善合同验收手续，规避合同管理制度执行风险。</w:t>
      </w:r>
    </w:p>
    <w:p>
      <w:pPr>
        <w:numPr>
          <w:ilvl w:val="0"/>
          <w:numId w:val="11"/>
        </w:numPr>
        <w:spacing w:line="360" w:lineRule="auto"/>
        <w:rPr>
          <w:rFonts w:eastAsia="仿宋_GB2312"/>
          <w:bCs/>
          <w:kern w:val="0"/>
          <w:sz w:val="28"/>
          <w:szCs w:val="28"/>
        </w:rPr>
      </w:pPr>
      <w:r>
        <w:rPr>
          <w:rFonts w:eastAsia="仿宋_GB2312"/>
          <w:bCs/>
          <w:kern w:val="0"/>
          <w:sz w:val="28"/>
          <w:szCs w:val="28"/>
        </w:rPr>
        <w:t>完善评价资料的完整度，充分体现项目管理过程</w:t>
      </w:r>
    </w:p>
    <w:p>
      <w:pPr>
        <w:spacing w:line="360" w:lineRule="auto"/>
        <w:ind w:firstLine="560" w:firstLineChars="200"/>
        <w:rPr>
          <w:rFonts w:eastAsia="仿宋_GB2312"/>
          <w:b/>
          <w:kern w:val="0"/>
          <w:sz w:val="28"/>
          <w:szCs w:val="28"/>
        </w:rPr>
      </w:pPr>
      <w:r>
        <w:rPr>
          <w:rFonts w:eastAsia="仿宋_GB2312"/>
          <w:bCs/>
          <w:kern w:val="0"/>
          <w:sz w:val="28"/>
          <w:szCs w:val="28"/>
        </w:rPr>
        <w:t>项目过程资料归集是贯穿整个项目执行过程中的重要工作环节，所收集的信息是支撑评价结论的重要依据。</w:t>
      </w:r>
      <w:r>
        <w:rPr>
          <w:rFonts w:hint="eastAsia" w:eastAsia="仿宋_GB2312"/>
          <w:bCs/>
          <w:kern w:val="0"/>
          <w:sz w:val="28"/>
          <w:szCs w:val="28"/>
        </w:rPr>
        <w:t>建议注重完善反映项目培训效果资料归集整理，充分呈现培训绩效，加强网课培训管理互动效果资料收集，应及时留痕，充分证明满意度调查规范性和服务对象满意程度</w:t>
      </w:r>
      <w:r>
        <w:rPr>
          <w:rFonts w:eastAsia="仿宋_GB2312"/>
          <w:bCs/>
          <w:kern w:val="0"/>
          <w:sz w:val="28"/>
          <w:szCs w:val="28"/>
        </w:rPr>
        <w:t>。</w:t>
      </w:r>
      <w:bookmarkStart w:id="54" w:name="_Toc31994"/>
    </w:p>
    <w:p>
      <w:pPr>
        <w:spacing w:line="600" w:lineRule="exact"/>
        <w:ind w:firstLine="562" w:firstLineChars="200"/>
        <w:outlineLvl w:val="0"/>
        <w:rPr>
          <w:rFonts w:eastAsia="仿宋_GB2312"/>
          <w:b/>
          <w:kern w:val="0"/>
          <w:sz w:val="28"/>
          <w:szCs w:val="28"/>
        </w:rPr>
      </w:pPr>
      <w:r>
        <w:rPr>
          <w:rFonts w:eastAsia="仿宋_GB2312"/>
          <w:b/>
          <w:kern w:val="0"/>
          <w:sz w:val="28"/>
          <w:szCs w:val="28"/>
        </w:rPr>
        <w:t>七、其他需要说明的问题</w:t>
      </w:r>
      <w:bookmarkEnd w:id="54"/>
    </w:p>
    <w:p>
      <w:pPr>
        <w:spacing w:line="600" w:lineRule="exact"/>
        <w:ind w:firstLine="560" w:firstLineChars="200"/>
        <w:rPr>
          <w:rFonts w:eastAsia="仿宋_GB2312"/>
          <w:bCs/>
          <w:kern w:val="0"/>
          <w:sz w:val="28"/>
          <w:szCs w:val="28"/>
        </w:rPr>
      </w:pPr>
      <w:r>
        <w:rPr>
          <w:rFonts w:eastAsia="仿宋_GB2312"/>
          <w:bCs/>
          <w:kern w:val="0"/>
          <w:sz w:val="28"/>
          <w:szCs w:val="28"/>
        </w:rPr>
        <w:t>无。</w:t>
      </w:r>
    </w:p>
    <w:p>
      <w:pPr>
        <w:spacing w:line="600" w:lineRule="exact"/>
        <w:ind w:firstLine="560" w:firstLineChars="200"/>
        <w:rPr>
          <w:rFonts w:eastAsia="仿宋_GB2312"/>
          <w:kern w:val="0"/>
          <w:sz w:val="28"/>
          <w:szCs w:val="28"/>
        </w:rPr>
      </w:pPr>
    </w:p>
    <w:p>
      <w:pPr>
        <w:spacing w:line="600" w:lineRule="exact"/>
        <w:ind w:firstLine="560" w:firstLineChars="200"/>
        <w:rPr>
          <w:rFonts w:eastAsia="仿宋_GB2312"/>
          <w:kern w:val="0"/>
          <w:sz w:val="28"/>
          <w:szCs w:val="28"/>
        </w:rPr>
      </w:pPr>
      <w:r>
        <w:rPr>
          <w:rFonts w:eastAsia="仿宋_GB2312"/>
          <w:kern w:val="0"/>
          <w:sz w:val="28"/>
          <w:szCs w:val="28"/>
        </w:rPr>
        <w:t>附件：</w:t>
      </w:r>
    </w:p>
    <w:p>
      <w:pPr>
        <w:spacing w:line="600" w:lineRule="exact"/>
        <w:ind w:firstLine="560" w:firstLineChars="200"/>
        <w:rPr>
          <w:rFonts w:eastAsia="仿宋_GB2312"/>
          <w:kern w:val="0"/>
          <w:sz w:val="28"/>
          <w:szCs w:val="28"/>
        </w:rPr>
      </w:pPr>
      <w:r>
        <w:rPr>
          <w:rFonts w:hint="eastAsia" w:eastAsia="仿宋_GB2312"/>
          <w:kern w:val="0"/>
          <w:sz w:val="28"/>
          <w:szCs w:val="28"/>
        </w:rPr>
        <w:t>1、项目预算执行情况表</w:t>
      </w:r>
    </w:p>
    <w:p>
      <w:pPr>
        <w:spacing w:line="600" w:lineRule="exact"/>
        <w:ind w:firstLine="560" w:firstLineChars="200"/>
        <w:rPr>
          <w:rFonts w:eastAsia="仿宋_GB2312"/>
          <w:kern w:val="0"/>
          <w:sz w:val="28"/>
          <w:szCs w:val="28"/>
        </w:rPr>
      </w:pPr>
      <w:r>
        <w:rPr>
          <w:rFonts w:hint="eastAsia" w:eastAsia="仿宋_GB2312"/>
          <w:kern w:val="0"/>
          <w:sz w:val="28"/>
          <w:szCs w:val="28"/>
        </w:rPr>
        <w:t>2、项目绩效目标完成情况及收支明细表</w:t>
      </w:r>
    </w:p>
    <w:p>
      <w:pPr>
        <w:spacing w:line="600" w:lineRule="exact"/>
        <w:ind w:firstLine="560" w:firstLineChars="200"/>
        <w:rPr>
          <w:rFonts w:eastAsia="仿宋_GB2312"/>
          <w:kern w:val="0"/>
          <w:sz w:val="28"/>
          <w:szCs w:val="28"/>
        </w:rPr>
      </w:pPr>
      <w:r>
        <w:rPr>
          <w:rFonts w:hint="eastAsia" w:eastAsia="仿宋_GB2312"/>
          <w:kern w:val="0"/>
          <w:sz w:val="28"/>
          <w:szCs w:val="28"/>
        </w:rPr>
        <w:t>3、专家及评价工作组情况表</w:t>
      </w:r>
    </w:p>
    <w:p>
      <w:pPr>
        <w:spacing w:line="600" w:lineRule="exact"/>
        <w:ind w:firstLine="560" w:firstLineChars="200"/>
        <w:rPr>
          <w:rFonts w:eastAsia="仿宋_GB2312"/>
          <w:kern w:val="0"/>
          <w:sz w:val="28"/>
          <w:szCs w:val="28"/>
        </w:rPr>
      </w:pPr>
      <w:r>
        <w:rPr>
          <w:rFonts w:hint="eastAsia" w:eastAsia="仿宋_GB2312"/>
          <w:kern w:val="0"/>
          <w:sz w:val="28"/>
          <w:szCs w:val="28"/>
        </w:rPr>
        <w:t>4、专家意见汇总书</w:t>
      </w:r>
    </w:p>
    <w:p>
      <w:pPr>
        <w:spacing w:line="600" w:lineRule="exact"/>
        <w:ind w:firstLine="560" w:firstLineChars="200"/>
        <w:rPr>
          <w:rFonts w:eastAsia="仿宋_GB2312"/>
          <w:sz w:val="28"/>
          <w:szCs w:val="28"/>
        </w:rPr>
      </w:pPr>
      <w:r>
        <w:rPr>
          <w:rFonts w:hint="eastAsia" w:eastAsia="仿宋_GB2312"/>
          <w:kern w:val="0"/>
          <w:sz w:val="28"/>
          <w:szCs w:val="28"/>
        </w:rPr>
        <w:t>5、指标体系及打分情况表</w:t>
      </w:r>
    </w:p>
    <w:sectPr>
      <w:footerReference r:id="rId4" w:type="default"/>
      <w:pgSz w:w="11906" w:h="16838"/>
      <w:pgMar w:top="1440" w:right="1558" w:bottom="1440" w:left="156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altName w:val="微软雅黑"/>
    <w:panose1 w:val="00000000000000000000"/>
    <w:charset w:val="86"/>
    <w:family w:val="script"/>
    <w:pitch w:val="default"/>
    <w:sig w:usb0="00000000" w:usb1="00000000" w:usb2="00000000" w:usb3="00000000" w:csb0="00040000" w:csb1="00000000"/>
  </w:font>
  <w:font w:name="方正小标宋简体">
    <w:panose1 w:val="02000000000000000000"/>
    <w:charset w:val="86"/>
    <w:family w:val="script"/>
    <w:pitch w:val="default"/>
    <w:sig w:usb0="00000001" w:usb1="08000000" w:usb2="00000000" w:usb3="00000000" w:csb0="00040000" w:csb1="00000000"/>
    <w:embedRegular r:id="rId1" w:fontKey="{4974F23E-2B26-41A0-BD9D-F1E169FF62E2}"/>
  </w:font>
  <w:font w:name="仿宋_GB2312">
    <w:panose1 w:val="02010609030101010101"/>
    <w:charset w:val="86"/>
    <w:family w:val="modern"/>
    <w:pitch w:val="default"/>
    <w:sig w:usb0="00000001" w:usb1="080E0000" w:usb2="00000000" w:usb3="00000000" w:csb0="00040000" w:csb1="00000000"/>
    <w:embedRegular r:id="rId2" w:fontKey="{9C61BEC3-65DD-4244-9484-60C8715B99FD}"/>
  </w:font>
  <w:font w:name="微软雅黑">
    <w:panose1 w:val="020B0503020204020204"/>
    <w:charset w:val="86"/>
    <w:family w:val="swiss"/>
    <w:pitch w:val="default"/>
    <w:sig w:usb0="80000287" w:usb1="2ACF3C50" w:usb2="00000016" w:usb3="00000000" w:csb0="0004001F" w:csb1="00000000"/>
    <w:embedRegular r:id="rId3" w:fontKey="{A081BC77-17C6-4692-8660-77B9BF3030F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center" w:pos="4320"/>
        <w:tab w:val="right" w:pos="8640"/>
        <w:tab w:val="clear" w:pos="4153"/>
        <w:tab w:val="clear" w:pos="8306"/>
      </w:tabs>
      <w:rPr>
        <w:rFonts w:eastAsia="仿宋_GB2312"/>
        <w:i/>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fldChar w:fldCharType="begin"/>
                          </w:r>
                          <w:r>
                            <w:instrText xml:space="preserve"> PAGE  \* MERGEFORMAT </w:instrText>
                          </w:r>
                          <w:r>
                            <w:fldChar w:fldCharType="separate"/>
                          </w:r>
                          <w:r>
                            <w:t>1</w:t>
                          </w:r>
                          <w:r>
                            <w:fldChar w:fldCharType="end"/>
                          </w:r>
                        </w:p>
                      </w:txbxContent>
                    </wps:txbx>
                    <wps:bodyPr wrap="none" lIns="0" tIns="0" rIns="0" bIns="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Zi5FMEBAACNAwAADgAAAGRycy9lMm9Eb2MueG1srVPNjtMwEL4j8Q6W&#10;79Rph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pt6GtKHLc48Mv3b5cfvy4/v5Jl&#10;lqcPUGPWQ8C8NNz5AZdm9gM6M+tBRZu/yIdgHMU9X8WVQyIiP1qv1usKQwJj8wXx2ePzECG9ld6S&#10;bDQ04vSKqPz0HtKYOqfkas7fa2PKBI37y4GY2cNy72OP2UrDfpgI7X17Rj49Dr6hDvecEvPOoa55&#10;R2YjzsZ+MnINCLfHhIVLPxl1hJqK4ZQKo2mj8hr8eS9Zj3/R9j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OqXm5zwAAAAUBAAAPAAAAAAAAAAEAIAAAACIAAABkcnMvZG93bnJldi54bWxQSwECFAAU&#10;AAAACACHTuJAzZi5FMEBAACNAwAADgAAAAAAAAABACAAAAAeAQAAZHJzL2Uyb0RvYy54bWxQSwUG&#10;AAAAAAYABgBZAQAAUQUAAAAA&#10;">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r>
      <w:rPr>
        <w:rFonts w:eastAsia="仿宋_GB2312"/>
        <w:i/>
        <w:sz w:val="21"/>
        <w:szCs w:val="21"/>
      </w:rPr>
      <w:t>公司：中逸会计师事务所有限公司</w:t>
    </w:r>
  </w:p>
  <w:p>
    <w:pPr>
      <w:tabs>
        <w:tab w:val="center" w:pos="4320"/>
        <w:tab w:val="right" w:pos="8640"/>
      </w:tabs>
      <w:jc w:val="left"/>
      <w:rPr>
        <w:rFonts w:eastAsia="仿宋_GB2312"/>
        <w:i/>
        <w:szCs w:val="21"/>
      </w:rPr>
    </w:pPr>
    <w:r>
      <w:rPr>
        <w:rFonts w:eastAsia="仿宋_GB2312"/>
        <w:i/>
        <w:szCs w:val="21"/>
      </w:rPr>
      <w:t>地址：</w:t>
    </w:r>
    <w:r>
      <w:rPr>
        <w:rFonts w:hint="eastAsia" w:eastAsia="仿宋_GB2312"/>
        <w:i/>
        <w:szCs w:val="21"/>
      </w:rPr>
      <w:t>北京市东城区东长安街1号东方广场经贸城W2座1207-1212 室</w:t>
    </w:r>
  </w:p>
  <w:p>
    <w:pPr>
      <w:pStyle w:val="5"/>
    </w:pPr>
    <w:r>
      <w:rPr>
        <w:rFonts w:eastAsia="仿宋_GB2312"/>
        <w:i/>
        <w:sz w:val="21"/>
        <w:szCs w:val="21"/>
      </w:rPr>
      <w:t>电话：010-85188189</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jc w:val="right"/>
      <w:rPr>
        <w:rFonts w:eastAsia="仿宋_GB2312"/>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65F17B"/>
    <w:multiLevelType w:val="singleLevel"/>
    <w:tmpl w:val="8565F17B"/>
    <w:lvl w:ilvl="0" w:tentative="0">
      <w:start w:val="1"/>
      <w:numFmt w:val="decimal"/>
      <w:lvlText w:val="%1."/>
      <w:lvlJc w:val="left"/>
      <w:pPr>
        <w:ind w:left="425" w:hanging="425"/>
      </w:pPr>
      <w:rPr>
        <w:rFonts w:hint="default"/>
      </w:rPr>
    </w:lvl>
  </w:abstractNum>
  <w:abstractNum w:abstractNumId="1">
    <w:nsid w:val="91BAC6C3"/>
    <w:multiLevelType w:val="singleLevel"/>
    <w:tmpl w:val="91BAC6C3"/>
    <w:lvl w:ilvl="0" w:tentative="0">
      <w:start w:val="1"/>
      <w:numFmt w:val="decimal"/>
      <w:lvlText w:val="%1."/>
      <w:lvlJc w:val="left"/>
      <w:pPr>
        <w:ind w:left="425" w:hanging="425"/>
      </w:pPr>
      <w:rPr>
        <w:rFonts w:hint="default"/>
      </w:rPr>
    </w:lvl>
  </w:abstractNum>
  <w:abstractNum w:abstractNumId="2">
    <w:nsid w:val="AD73B024"/>
    <w:multiLevelType w:val="singleLevel"/>
    <w:tmpl w:val="AD73B024"/>
    <w:lvl w:ilvl="0" w:tentative="0">
      <w:start w:val="1"/>
      <w:numFmt w:val="decimal"/>
      <w:lvlText w:val="%1."/>
      <w:lvlJc w:val="left"/>
      <w:pPr>
        <w:ind w:left="425" w:hanging="425"/>
      </w:pPr>
      <w:rPr>
        <w:rFonts w:hint="default"/>
      </w:rPr>
    </w:lvl>
  </w:abstractNum>
  <w:abstractNum w:abstractNumId="3">
    <w:nsid w:val="B0F112E2"/>
    <w:multiLevelType w:val="singleLevel"/>
    <w:tmpl w:val="B0F112E2"/>
    <w:lvl w:ilvl="0" w:tentative="0">
      <w:start w:val="2"/>
      <w:numFmt w:val="chineseCounting"/>
      <w:suff w:val="nothing"/>
      <w:lvlText w:val="（%1）"/>
      <w:lvlJc w:val="left"/>
      <w:rPr>
        <w:rFonts w:hint="eastAsia"/>
      </w:rPr>
    </w:lvl>
  </w:abstractNum>
  <w:abstractNum w:abstractNumId="4">
    <w:nsid w:val="006319AF"/>
    <w:multiLevelType w:val="singleLevel"/>
    <w:tmpl w:val="006319AF"/>
    <w:lvl w:ilvl="0" w:tentative="0">
      <w:start w:val="1"/>
      <w:numFmt w:val="decimal"/>
      <w:suff w:val="nothing"/>
      <w:lvlText w:val="%1．"/>
      <w:lvlJc w:val="left"/>
      <w:pPr>
        <w:ind w:left="0" w:firstLine="400"/>
      </w:pPr>
      <w:rPr>
        <w:rFonts w:hint="default"/>
      </w:rPr>
    </w:lvl>
  </w:abstractNum>
  <w:abstractNum w:abstractNumId="5">
    <w:nsid w:val="560F539A"/>
    <w:multiLevelType w:val="multilevel"/>
    <w:tmpl w:val="560F539A"/>
    <w:lvl w:ilvl="0" w:tentative="0">
      <w:start w:val="1"/>
      <w:numFmt w:val="decimal"/>
      <w:lvlText w:val="（%1）"/>
      <w:lvlJc w:val="left"/>
      <w:pPr>
        <w:ind w:left="1280" w:hanging="720"/>
      </w:pPr>
      <w:rPr>
        <w:rFonts w:hint="default"/>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6">
    <w:nsid w:val="6194B7AB"/>
    <w:multiLevelType w:val="singleLevel"/>
    <w:tmpl w:val="6194B7AB"/>
    <w:lvl w:ilvl="0" w:tentative="0">
      <w:start w:val="1"/>
      <w:numFmt w:val="decimal"/>
      <w:suff w:val="nothing"/>
      <w:lvlText w:val="%1．"/>
      <w:lvlJc w:val="left"/>
      <w:pPr>
        <w:ind w:left="0" w:firstLine="400"/>
      </w:pPr>
      <w:rPr>
        <w:rFonts w:hint="default"/>
      </w:rPr>
    </w:lvl>
  </w:abstractNum>
  <w:abstractNum w:abstractNumId="7">
    <w:nsid w:val="67A9BB9E"/>
    <w:multiLevelType w:val="singleLevel"/>
    <w:tmpl w:val="67A9BB9E"/>
    <w:lvl w:ilvl="0" w:tentative="0">
      <w:start w:val="1"/>
      <w:numFmt w:val="decimal"/>
      <w:lvlText w:val="%1."/>
      <w:lvlJc w:val="left"/>
      <w:pPr>
        <w:ind w:left="425" w:hanging="425"/>
      </w:pPr>
      <w:rPr>
        <w:rFonts w:hint="default"/>
      </w:rPr>
    </w:lvl>
  </w:abstractNum>
  <w:abstractNum w:abstractNumId="8">
    <w:nsid w:val="6EBA0119"/>
    <w:multiLevelType w:val="singleLevel"/>
    <w:tmpl w:val="6EBA0119"/>
    <w:lvl w:ilvl="0" w:tentative="0">
      <w:start w:val="1"/>
      <w:numFmt w:val="decimal"/>
      <w:suff w:val="nothing"/>
      <w:lvlText w:val="%1．"/>
      <w:lvlJc w:val="left"/>
      <w:pPr>
        <w:ind w:left="0" w:firstLine="400"/>
      </w:pPr>
      <w:rPr>
        <w:rFonts w:hint="default"/>
      </w:rPr>
    </w:lvl>
  </w:abstractNum>
  <w:abstractNum w:abstractNumId="9">
    <w:nsid w:val="7A63A4E6"/>
    <w:multiLevelType w:val="singleLevel"/>
    <w:tmpl w:val="7A63A4E6"/>
    <w:lvl w:ilvl="0" w:tentative="0">
      <w:start w:val="3"/>
      <w:numFmt w:val="chineseCounting"/>
      <w:suff w:val="nothing"/>
      <w:lvlText w:val="%1、"/>
      <w:lvlJc w:val="left"/>
      <w:rPr>
        <w:rFonts w:hint="eastAsia"/>
      </w:rPr>
    </w:lvl>
  </w:abstractNum>
  <w:abstractNum w:abstractNumId="10">
    <w:nsid w:val="7D7BA17B"/>
    <w:multiLevelType w:val="singleLevel"/>
    <w:tmpl w:val="7D7BA17B"/>
    <w:lvl w:ilvl="0" w:tentative="0">
      <w:start w:val="1"/>
      <w:numFmt w:val="decimal"/>
      <w:lvlText w:val="%1."/>
      <w:lvlJc w:val="left"/>
      <w:pPr>
        <w:ind w:left="425" w:hanging="425"/>
      </w:pPr>
      <w:rPr>
        <w:rFonts w:hint="default"/>
      </w:rPr>
    </w:lvl>
  </w:abstractNum>
  <w:num w:numId="1">
    <w:abstractNumId w:val="7"/>
  </w:num>
  <w:num w:numId="2">
    <w:abstractNumId w:val="10"/>
  </w:num>
  <w:num w:numId="3">
    <w:abstractNumId w:val="9"/>
  </w:num>
  <w:num w:numId="4">
    <w:abstractNumId w:val="2"/>
  </w:num>
  <w:num w:numId="5">
    <w:abstractNumId w:val="3"/>
  </w:num>
  <w:num w:numId="6">
    <w:abstractNumId w:val="1"/>
  </w:num>
  <w:num w:numId="7">
    <w:abstractNumId w:val="5"/>
  </w:num>
  <w:num w:numId="8">
    <w:abstractNumId w:val="0"/>
  </w:num>
  <w:num w:numId="9">
    <w:abstractNumId w:val="4"/>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M0ZjlhNDc5Njc1YmFmNjM0NmIyOGRlZGU5NjdiY2QifQ=="/>
  </w:docVars>
  <w:rsids>
    <w:rsidRoot w:val="00F463BA"/>
    <w:rsid w:val="00027D85"/>
    <w:rsid w:val="000439DD"/>
    <w:rsid w:val="00062A59"/>
    <w:rsid w:val="000C2E32"/>
    <w:rsid w:val="000D7898"/>
    <w:rsid w:val="00141F45"/>
    <w:rsid w:val="00144698"/>
    <w:rsid w:val="00145BFF"/>
    <w:rsid w:val="00164A7B"/>
    <w:rsid w:val="00182095"/>
    <w:rsid w:val="001A4AD8"/>
    <w:rsid w:val="001B09D8"/>
    <w:rsid w:val="001E1AEB"/>
    <w:rsid w:val="001E4D39"/>
    <w:rsid w:val="001E7F51"/>
    <w:rsid w:val="001F3BF1"/>
    <w:rsid w:val="001F6B2F"/>
    <w:rsid w:val="00261ABA"/>
    <w:rsid w:val="002920C9"/>
    <w:rsid w:val="002E1D9B"/>
    <w:rsid w:val="003269F6"/>
    <w:rsid w:val="00374765"/>
    <w:rsid w:val="003D7F94"/>
    <w:rsid w:val="003E191F"/>
    <w:rsid w:val="00412B25"/>
    <w:rsid w:val="00452515"/>
    <w:rsid w:val="00496F93"/>
    <w:rsid w:val="004F3AA9"/>
    <w:rsid w:val="00501CFC"/>
    <w:rsid w:val="00521E74"/>
    <w:rsid w:val="005317C6"/>
    <w:rsid w:val="005360B8"/>
    <w:rsid w:val="00562207"/>
    <w:rsid w:val="00562A76"/>
    <w:rsid w:val="005723DF"/>
    <w:rsid w:val="00573D17"/>
    <w:rsid w:val="0059583A"/>
    <w:rsid w:val="005B6034"/>
    <w:rsid w:val="005C3281"/>
    <w:rsid w:val="005D026E"/>
    <w:rsid w:val="00642116"/>
    <w:rsid w:val="00651300"/>
    <w:rsid w:val="006679B6"/>
    <w:rsid w:val="006729EC"/>
    <w:rsid w:val="00696466"/>
    <w:rsid w:val="006C09FF"/>
    <w:rsid w:val="006C4A98"/>
    <w:rsid w:val="006C4BB6"/>
    <w:rsid w:val="006D3E81"/>
    <w:rsid w:val="007106B4"/>
    <w:rsid w:val="007361E7"/>
    <w:rsid w:val="00747BDA"/>
    <w:rsid w:val="00771A1C"/>
    <w:rsid w:val="00784CD5"/>
    <w:rsid w:val="007A0ACB"/>
    <w:rsid w:val="00867D1B"/>
    <w:rsid w:val="00867D42"/>
    <w:rsid w:val="00871382"/>
    <w:rsid w:val="0089706D"/>
    <w:rsid w:val="008A02B2"/>
    <w:rsid w:val="008E6408"/>
    <w:rsid w:val="008F6324"/>
    <w:rsid w:val="0090306E"/>
    <w:rsid w:val="00906F3C"/>
    <w:rsid w:val="0097528C"/>
    <w:rsid w:val="009935BD"/>
    <w:rsid w:val="009A3C35"/>
    <w:rsid w:val="009D1837"/>
    <w:rsid w:val="009D3A66"/>
    <w:rsid w:val="009D795D"/>
    <w:rsid w:val="009E526D"/>
    <w:rsid w:val="009F66A1"/>
    <w:rsid w:val="00A04938"/>
    <w:rsid w:val="00A244A8"/>
    <w:rsid w:val="00A30ACC"/>
    <w:rsid w:val="00A35872"/>
    <w:rsid w:val="00A75366"/>
    <w:rsid w:val="00AB3F3D"/>
    <w:rsid w:val="00AC7E36"/>
    <w:rsid w:val="00AD51DB"/>
    <w:rsid w:val="00AE362B"/>
    <w:rsid w:val="00B26C5C"/>
    <w:rsid w:val="00B33168"/>
    <w:rsid w:val="00B33D1B"/>
    <w:rsid w:val="00B4729B"/>
    <w:rsid w:val="00BC5A3D"/>
    <w:rsid w:val="00BD0C2F"/>
    <w:rsid w:val="00BD12E1"/>
    <w:rsid w:val="00BD527E"/>
    <w:rsid w:val="00C1645B"/>
    <w:rsid w:val="00C212ED"/>
    <w:rsid w:val="00C45BC4"/>
    <w:rsid w:val="00C55021"/>
    <w:rsid w:val="00C600DC"/>
    <w:rsid w:val="00C84204"/>
    <w:rsid w:val="00CB65B9"/>
    <w:rsid w:val="00CE772E"/>
    <w:rsid w:val="00D03D2F"/>
    <w:rsid w:val="00D03EFE"/>
    <w:rsid w:val="00D44FDB"/>
    <w:rsid w:val="00D51442"/>
    <w:rsid w:val="00DA3C38"/>
    <w:rsid w:val="00E23D32"/>
    <w:rsid w:val="00E27A3C"/>
    <w:rsid w:val="00E62602"/>
    <w:rsid w:val="00E77AEF"/>
    <w:rsid w:val="00E93FB6"/>
    <w:rsid w:val="00EB43D4"/>
    <w:rsid w:val="00F26760"/>
    <w:rsid w:val="00F3413C"/>
    <w:rsid w:val="00F413DB"/>
    <w:rsid w:val="00F463BA"/>
    <w:rsid w:val="00F81C70"/>
    <w:rsid w:val="00F92790"/>
    <w:rsid w:val="00F96009"/>
    <w:rsid w:val="00F97E75"/>
    <w:rsid w:val="00FC213A"/>
    <w:rsid w:val="00FC3019"/>
    <w:rsid w:val="00FD7FEC"/>
    <w:rsid w:val="00FF5593"/>
    <w:rsid w:val="0423362A"/>
    <w:rsid w:val="04527F70"/>
    <w:rsid w:val="09BC0C14"/>
    <w:rsid w:val="0B0941FE"/>
    <w:rsid w:val="0B0F2A4F"/>
    <w:rsid w:val="0BE062BE"/>
    <w:rsid w:val="0CFD4A79"/>
    <w:rsid w:val="121B6C07"/>
    <w:rsid w:val="13FB2801"/>
    <w:rsid w:val="14796149"/>
    <w:rsid w:val="16E5286E"/>
    <w:rsid w:val="17D551CF"/>
    <w:rsid w:val="194204F3"/>
    <w:rsid w:val="1AED1E56"/>
    <w:rsid w:val="1B391A9C"/>
    <w:rsid w:val="1B545B45"/>
    <w:rsid w:val="1C6963B1"/>
    <w:rsid w:val="1E6013EF"/>
    <w:rsid w:val="1E9B15B8"/>
    <w:rsid w:val="1FF10305"/>
    <w:rsid w:val="217E73DC"/>
    <w:rsid w:val="27291DE7"/>
    <w:rsid w:val="2E29665D"/>
    <w:rsid w:val="2E9A23CB"/>
    <w:rsid w:val="2FD26615"/>
    <w:rsid w:val="2FFA3814"/>
    <w:rsid w:val="30715E23"/>
    <w:rsid w:val="30BC2494"/>
    <w:rsid w:val="31F2628F"/>
    <w:rsid w:val="32A47CEB"/>
    <w:rsid w:val="32EC112E"/>
    <w:rsid w:val="36CC15BF"/>
    <w:rsid w:val="374C2531"/>
    <w:rsid w:val="379426EC"/>
    <w:rsid w:val="38711377"/>
    <w:rsid w:val="39965008"/>
    <w:rsid w:val="3A125298"/>
    <w:rsid w:val="3BCE6655"/>
    <w:rsid w:val="3E7376AD"/>
    <w:rsid w:val="404C5FAB"/>
    <w:rsid w:val="40801FE3"/>
    <w:rsid w:val="4095560E"/>
    <w:rsid w:val="41517290"/>
    <w:rsid w:val="41E84D8F"/>
    <w:rsid w:val="42537E1A"/>
    <w:rsid w:val="445D7CFA"/>
    <w:rsid w:val="44974742"/>
    <w:rsid w:val="45102BA4"/>
    <w:rsid w:val="4609638B"/>
    <w:rsid w:val="46CB3E96"/>
    <w:rsid w:val="49E54B67"/>
    <w:rsid w:val="4A2A423D"/>
    <w:rsid w:val="4A467386"/>
    <w:rsid w:val="4A812CD6"/>
    <w:rsid w:val="4B377B13"/>
    <w:rsid w:val="4BD22A59"/>
    <w:rsid w:val="4CB47DA3"/>
    <w:rsid w:val="4EE419F1"/>
    <w:rsid w:val="51867E4C"/>
    <w:rsid w:val="51B42962"/>
    <w:rsid w:val="52105845"/>
    <w:rsid w:val="523343DC"/>
    <w:rsid w:val="52A20D70"/>
    <w:rsid w:val="548B28B5"/>
    <w:rsid w:val="54B852F4"/>
    <w:rsid w:val="55287EB0"/>
    <w:rsid w:val="573E7E5F"/>
    <w:rsid w:val="57477BC8"/>
    <w:rsid w:val="58530C3A"/>
    <w:rsid w:val="5A694041"/>
    <w:rsid w:val="5C50675E"/>
    <w:rsid w:val="5CC6692D"/>
    <w:rsid w:val="5D2A70B9"/>
    <w:rsid w:val="5E2E06FF"/>
    <w:rsid w:val="626D6ADC"/>
    <w:rsid w:val="63BB5D2F"/>
    <w:rsid w:val="659E15F5"/>
    <w:rsid w:val="65BA6D04"/>
    <w:rsid w:val="66B612EF"/>
    <w:rsid w:val="69111792"/>
    <w:rsid w:val="6F6A6F67"/>
    <w:rsid w:val="704C2F66"/>
    <w:rsid w:val="70D649A9"/>
    <w:rsid w:val="70DF36C1"/>
    <w:rsid w:val="726E01AA"/>
    <w:rsid w:val="746E55A5"/>
    <w:rsid w:val="75122EE1"/>
    <w:rsid w:val="75731246"/>
    <w:rsid w:val="77000835"/>
    <w:rsid w:val="779C40BA"/>
    <w:rsid w:val="79D337C1"/>
    <w:rsid w:val="7BA0F9E5"/>
    <w:rsid w:val="7F334344"/>
    <w:rsid w:val="7F7B7B22"/>
    <w:rsid w:val="F7F5AF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22"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方正仿宋_GBK" w:hAnsi="Times New Roman" w:eastAsia="方正仿宋_GBK" w:cs="Times New Roman"/>
      <w:color w:val="000000"/>
      <w:sz w:val="24"/>
      <w:szCs w:val="22"/>
      <w:lang w:val="en-US" w:eastAsia="zh-CN" w:bidi="ar-SA"/>
    </w:rPr>
  </w:style>
  <w:style w:type="paragraph" w:styleId="3">
    <w:name w:val="annotation text"/>
    <w:basedOn w:val="1"/>
    <w:link w:val="18"/>
    <w:qFormat/>
    <w:uiPriority w:val="0"/>
    <w:pPr>
      <w:jc w:val="left"/>
    </w:pPr>
  </w:style>
  <w:style w:type="paragraph" w:styleId="4">
    <w:name w:val="Balloon Text"/>
    <w:basedOn w:val="1"/>
    <w:link w:val="24"/>
    <w:qFormat/>
    <w:uiPriority w:val="0"/>
    <w:rPr>
      <w:sz w:val="18"/>
      <w:szCs w:val="18"/>
    </w:rPr>
  </w:style>
  <w:style w:type="paragraph" w:styleId="5">
    <w:name w:val="footer"/>
    <w:basedOn w:val="1"/>
    <w:link w:val="16"/>
    <w:qFormat/>
    <w:uiPriority w:val="0"/>
    <w:pPr>
      <w:tabs>
        <w:tab w:val="center" w:pos="4153"/>
        <w:tab w:val="right" w:pos="8306"/>
      </w:tabs>
      <w:snapToGrid w:val="0"/>
      <w:jc w:val="left"/>
    </w:pPr>
    <w:rPr>
      <w:sz w:val="18"/>
      <w:szCs w:val="18"/>
    </w:rPr>
  </w:style>
  <w:style w:type="paragraph" w:styleId="6">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unhideWhenUsed/>
    <w:qFormat/>
    <w:uiPriority w:val="39"/>
  </w:style>
  <w:style w:type="paragraph" w:styleId="8">
    <w:name w:val="toc 2"/>
    <w:basedOn w:val="1"/>
    <w:next w:val="1"/>
    <w:unhideWhenUsed/>
    <w:qFormat/>
    <w:uiPriority w:val="39"/>
    <w:pPr>
      <w:ind w:left="420" w:leftChars="200"/>
    </w:pPr>
  </w:style>
  <w:style w:type="paragraph" w:styleId="9">
    <w:name w:val="annotation subject"/>
    <w:basedOn w:val="3"/>
    <w:next w:val="3"/>
    <w:link w:val="19"/>
    <w:qFormat/>
    <w:uiPriority w:val="0"/>
    <w:rPr>
      <w:b/>
      <w:bCs/>
    </w:rPr>
  </w:style>
  <w:style w:type="character" w:styleId="12">
    <w:name w:val="Strong"/>
    <w:basedOn w:val="11"/>
    <w:qFormat/>
    <w:uiPriority w:val="22"/>
    <w:rPr>
      <w:b/>
      <w:bCs/>
    </w:rPr>
  </w:style>
  <w:style w:type="character" w:styleId="13">
    <w:name w:val="Hyperlink"/>
    <w:basedOn w:val="11"/>
    <w:unhideWhenUsed/>
    <w:qFormat/>
    <w:uiPriority w:val="99"/>
    <w:rPr>
      <w:color w:val="0563C1" w:themeColor="hyperlink"/>
      <w:u w:val="single"/>
      <w14:textFill>
        <w14:solidFill>
          <w14:schemeClr w14:val="hlink"/>
        </w14:solidFill>
      </w14:textFill>
    </w:rPr>
  </w:style>
  <w:style w:type="character" w:styleId="14">
    <w:name w:val="annotation reference"/>
    <w:basedOn w:val="11"/>
    <w:qFormat/>
    <w:uiPriority w:val="0"/>
    <w:rPr>
      <w:sz w:val="21"/>
      <w:szCs w:val="21"/>
    </w:rPr>
  </w:style>
  <w:style w:type="character" w:customStyle="1" w:styleId="15">
    <w:name w:val="页眉 字符"/>
    <w:basedOn w:val="11"/>
    <w:link w:val="6"/>
    <w:qFormat/>
    <w:uiPriority w:val="99"/>
    <w:rPr>
      <w:rFonts w:ascii="Times New Roman" w:hAnsi="Times New Roman" w:eastAsia="宋体" w:cs="Times New Roman"/>
      <w:kern w:val="2"/>
      <w:sz w:val="18"/>
      <w:szCs w:val="18"/>
    </w:rPr>
  </w:style>
  <w:style w:type="character" w:customStyle="1" w:styleId="16">
    <w:name w:val="页脚 字符"/>
    <w:basedOn w:val="11"/>
    <w:link w:val="5"/>
    <w:qFormat/>
    <w:uiPriority w:val="0"/>
    <w:rPr>
      <w:rFonts w:ascii="Times New Roman" w:hAnsi="Times New Roman" w:eastAsia="宋体" w:cs="Times New Roman"/>
      <w:kern w:val="2"/>
      <w:sz w:val="18"/>
      <w:szCs w:val="18"/>
    </w:rPr>
  </w:style>
  <w:style w:type="paragraph" w:customStyle="1" w:styleId="17">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18">
    <w:name w:val="批注文字 字符"/>
    <w:basedOn w:val="11"/>
    <w:link w:val="3"/>
    <w:qFormat/>
    <w:uiPriority w:val="0"/>
    <w:rPr>
      <w:rFonts w:ascii="Times New Roman" w:hAnsi="Times New Roman" w:eastAsia="宋体" w:cs="Times New Roman"/>
      <w:kern w:val="2"/>
      <w:sz w:val="21"/>
      <w:szCs w:val="24"/>
    </w:rPr>
  </w:style>
  <w:style w:type="character" w:customStyle="1" w:styleId="19">
    <w:name w:val="批注主题 字符"/>
    <w:basedOn w:val="18"/>
    <w:link w:val="9"/>
    <w:qFormat/>
    <w:uiPriority w:val="0"/>
    <w:rPr>
      <w:rFonts w:ascii="Times New Roman" w:hAnsi="Times New Roman" w:eastAsia="宋体" w:cs="Times New Roman"/>
      <w:b/>
      <w:bCs/>
      <w:kern w:val="2"/>
      <w:sz w:val="21"/>
      <w:szCs w:val="24"/>
    </w:rPr>
  </w:style>
  <w:style w:type="paragraph" w:customStyle="1" w:styleId="20">
    <w:name w:val="WPSOffice手动目录 1"/>
    <w:qFormat/>
    <w:uiPriority w:val="0"/>
    <w:rPr>
      <w:rFonts w:ascii="Times New Roman" w:hAnsi="Times New Roman" w:eastAsia="宋体" w:cs="Times New Roman"/>
      <w:lang w:val="en-US" w:eastAsia="zh-CN" w:bidi="ar-SA"/>
    </w:rPr>
  </w:style>
  <w:style w:type="paragraph" w:customStyle="1" w:styleId="2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22">
    <w:name w:val="修订2"/>
    <w:hidden/>
    <w:semiHidden/>
    <w:qFormat/>
    <w:uiPriority w:val="99"/>
    <w:rPr>
      <w:rFonts w:ascii="Times New Roman" w:hAnsi="Times New Roman" w:eastAsia="宋体" w:cs="Times New Roman"/>
      <w:kern w:val="2"/>
      <w:sz w:val="21"/>
      <w:szCs w:val="24"/>
      <w:lang w:val="en-US" w:eastAsia="zh-CN" w:bidi="ar-SA"/>
    </w:rPr>
  </w:style>
  <w:style w:type="paragraph" w:styleId="23">
    <w:name w:val="List Paragraph"/>
    <w:basedOn w:val="1"/>
    <w:qFormat/>
    <w:uiPriority w:val="99"/>
    <w:pPr>
      <w:ind w:firstLine="420" w:firstLineChars="200"/>
    </w:pPr>
  </w:style>
  <w:style w:type="character" w:customStyle="1" w:styleId="24">
    <w:name w:val="批注框文本 字符"/>
    <w:basedOn w:val="11"/>
    <w:link w:val="4"/>
    <w:qFormat/>
    <w:uiPriority w:val="0"/>
    <w:rPr>
      <w:kern w:val="2"/>
      <w:sz w:val="18"/>
      <w:szCs w:val="18"/>
    </w:rPr>
  </w:style>
  <w:style w:type="paragraph" w:customStyle="1" w:styleId="25">
    <w:name w:val="修订3"/>
    <w:hidden/>
    <w:semiHidden/>
    <w:qFormat/>
    <w:uiPriority w:val="99"/>
    <w:rPr>
      <w:rFonts w:ascii="Times New Roman" w:hAnsi="Times New Roman" w:eastAsia="宋体" w:cs="Times New Roman"/>
      <w:kern w:val="2"/>
      <w:sz w:val="21"/>
      <w:szCs w:val="24"/>
      <w:lang w:val="en-US" w:eastAsia="zh-CN" w:bidi="ar-SA"/>
    </w:rPr>
  </w:style>
  <w:style w:type="paragraph" w:customStyle="1" w:styleId="26">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27">
    <w:name w:val="修订5"/>
    <w:hidden/>
    <w:unhideWhenUsed/>
    <w:qFormat/>
    <w:uiPriority w:val="99"/>
    <w:rPr>
      <w:rFonts w:ascii="Times New Roman" w:hAnsi="Times New Roman" w:eastAsia="宋体" w:cs="Times New Roman"/>
      <w:kern w:val="2"/>
      <w:sz w:val="21"/>
      <w:szCs w:val="24"/>
      <w:lang w:val="en-US" w:eastAsia="zh-CN" w:bidi="ar-SA"/>
    </w:rPr>
  </w:style>
  <w:style w:type="paragraph" w:customStyle="1" w:styleId="28">
    <w:name w:val="修订6"/>
    <w:hidden/>
    <w:unhideWhenUsed/>
    <w:qFormat/>
    <w:uiPriority w:val="99"/>
    <w:rPr>
      <w:rFonts w:ascii="Times New Roman" w:hAnsi="Times New Roman" w:eastAsia="宋体" w:cs="Times New Roman"/>
      <w:kern w:val="2"/>
      <w:sz w:val="21"/>
      <w:szCs w:val="24"/>
      <w:lang w:val="en-US" w:eastAsia="zh-CN" w:bidi="ar-SA"/>
    </w:rPr>
  </w:style>
  <w:style w:type="paragraph" w:customStyle="1" w:styleId="29">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8299</Words>
  <Characters>8647</Characters>
  <Lines>69</Lines>
  <Paragraphs>19</Paragraphs>
  <TotalTime>131</TotalTime>
  <ScaleCrop>false</ScaleCrop>
  <LinksUpToDate>false</LinksUpToDate>
  <CharactersWithSpaces>8824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2023-06-01T15:06:00Z</dcterms:created>
  <dc:creator>75629</dc:creator>
  <cp:lastModifiedBy>丁。</cp:lastModifiedBy>
  <cp:lastPrinted>2024-06-05T14:51:00Z</cp:lastPrinted>
  <dcterms:modified xsi:type="dcterms:W3CDTF">2024-06-13T03:00:13Z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22C8886180F648CCAEF479E8D2624655_12</vt:lpwstr>
  </property>
</Properties>
</file>