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45"/>
        </w:tabs>
        <w:overflowPunct w:val="0"/>
        <w:spacing w:line="540" w:lineRule="exact"/>
        <w:rPr>
          <w:rFonts w:eastAsia="黑体"/>
          <w:color w:val="000000"/>
          <w:sz w:val="32"/>
          <w:szCs w:val="32"/>
        </w:rPr>
      </w:pPr>
      <w:bookmarkStart w:id="0" w:name="_GoBack"/>
      <w:bookmarkEnd w:id="0"/>
      <w:r>
        <w:rPr>
          <w:rFonts w:eastAsia="黑体"/>
          <w:color w:val="000000"/>
          <w:sz w:val="32"/>
          <w:szCs w:val="32"/>
        </w:rPr>
        <w:t>附件2</w:t>
      </w:r>
    </w:p>
    <w:p>
      <w:pPr>
        <w:tabs>
          <w:tab w:val="left" w:pos="7245"/>
        </w:tabs>
        <w:overflowPunct w:val="0"/>
        <w:spacing w:line="540" w:lineRule="exact"/>
        <w:rPr>
          <w:rFonts w:eastAsia="黑体"/>
          <w:color w:val="000000"/>
          <w:sz w:val="32"/>
          <w:szCs w:val="32"/>
        </w:rPr>
      </w:pPr>
    </w:p>
    <w:p>
      <w:pPr>
        <w:overflowPunct w:val="0"/>
        <w:spacing w:line="540" w:lineRule="exact"/>
        <w:jc w:val="center"/>
        <w:rPr>
          <w:rFonts w:eastAsia="方正小标宋简体"/>
          <w:color w:val="000000"/>
          <w:sz w:val="44"/>
          <w:szCs w:val="44"/>
        </w:rPr>
      </w:pPr>
      <w:r>
        <w:rPr>
          <w:rFonts w:eastAsia="方正小标宋简体"/>
          <w:color w:val="000000"/>
          <w:sz w:val="44"/>
          <w:szCs w:val="44"/>
        </w:rPr>
        <w:t>202</w:t>
      </w:r>
      <w:r>
        <w:rPr>
          <w:rFonts w:hint="eastAsia" w:eastAsia="方正小标宋简体"/>
          <w:color w:val="000000"/>
          <w:sz w:val="44"/>
          <w:szCs w:val="44"/>
        </w:rPr>
        <w:t>3</w:t>
      </w:r>
      <w:r>
        <w:rPr>
          <w:rFonts w:eastAsia="方正小标宋简体"/>
          <w:color w:val="000000"/>
          <w:sz w:val="44"/>
          <w:szCs w:val="44"/>
        </w:rPr>
        <w:t>年市人大专委会专项督办</w:t>
      </w:r>
    </w:p>
    <w:p>
      <w:pPr>
        <w:overflowPunct w:val="0"/>
        <w:spacing w:line="540" w:lineRule="exact"/>
        <w:jc w:val="center"/>
        <w:rPr>
          <w:rFonts w:eastAsia="方正小标宋简体"/>
          <w:color w:val="000000"/>
          <w:sz w:val="44"/>
          <w:szCs w:val="44"/>
        </w:rPr>
      </w:pPr>
      <w:r>
        <w:rPr>
          <w:rFonts w:eastAsia="方正小标宋简体"/>
          <w:color w:val="000000"/>
          <w:sz w:val="44"/>
          <w:szCs w:val="44"/>
        </w:rPr>
        <w:t>代表建议一览表</w:t>
      </w:r>
    </w:p>
    <w:p>
      <w:pPr>
        <w:tabs>
          <w:tab w:val="left" w:pos="7245"/>
        </w:tabs>
        <w:overflowPunct w:val="0"/>
        <w:spacing w:line="540" w:lineRule="exact"/>
        <w:rPr>
          <w:rFonts w:eastAsia="方正小标宋简体"/>
          <w:color w:val="000000"/>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842"/>
        <w:gridCol w:w="1701"/>
        <w:gridCol w:w="4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overflowPunct w:val="0"/>
              <w:spacing w:line="400" w:lineRule="exact"/>
              <w:jc w:val="center"/>
              <w:rPr>
                <w:rFonts w:eastAsia="黑体"/>
                <w:color w:val="000000"/>
                <w:sz w:val="32"/>
                <w:szCs w:val="32"/>
              </w:rPr>
            </w:pPr>
            <w:r>
              <w:rPr>
                <w:rFonts w:eastAsia="黑体"/>
                <w:color w:val="000000"/>
                <w:sz w:val="32"/>
                <w:szCs w:val="32"/>
              </w:rPr>
              <w:t>序号</w:t>
            </w:r>
          </w:p>
        </w:tc>
        <w:tc>
          <w:tcPr>
            <w:tcW w:w="1842" w:type="dxa"/>
            <w:vAlign w:val="center"/>
          </w:tcPr>
          <w:p>
            <w:pPr>
              <w:overflowPunct w:val="0"/>
              <w:spacing w:line="400" w:lineRule="exact"/>
              <w:jc w:val="center"/>
              <w:rPr>
                <w:rFonts w:eastAsia="黑体"/>
                <w:color w:val="000000"/>
                <w:sz w:val="32"/>
                <w:szCs w:val="32"/>
              </w:rPr>
            </w:pPr>
            <w:r>
              <w:rPr>
                <w:rFonts w:eastAsia="黑体"/>
                <w:color w:val="000000"/>
                <w:sz w:val="32"/>
                <w:szCs w:val="32"/>
              </w:rPr>
              <w:t>专委会</w:t>
            </w:r>
          </w:p>
        </w:tc>
        <w:tc>
          <w:tcPr>
            <w:tcW w:w="1701" w:type="dxa"/>
            <w:vAlign w:val="center"/>
          </w:tcPr>
          <w:p>
            <w:pPr>
              <w:overflowPunct w:val="0"/>
              <w:spacing w:line="400" w:lineRule="exact"/>
              <w:jc w:val="center"/>
              <w:rPr>
                <w:rFonts w:eastAsia="黑体"/>
                <w:color w:val="000000"/>
                <w:sz w:val="36"/>
                <w:szCs w:val="36"/>
              </w:rPr>
            </w:pPr>
            <w:r>
              <w:rPr>
                <w:rFonts w:eastAsia="黑体"/>
                <w:color w:val="000000"/>
                <w:sz w:val="32"/>
                <w:szCs w:val="32"/>
              </w:rPr>
              <w:t>对口联系单位办理建议数量</w:t>
            </w:r>
          </w:p>
        </w:tc>
        <w:tc>
          <w:tcPr>
            <w:tcW w:w="4529" w:type="dxa"/>
            <w:vAlign w:val="center"/>
          </w:tcPr>
          <w:p>
            <w:pPr>
              <w:overflowPunct w:val="0"/>
              <w:spacing w:line="400" w:lineRule="exact"/>
              <w:jc w:val="center"/>
              <w:rPr>
                <w:rFonts w:eastAsia="黑体"/>
                <w:color w:val="000000"/>
                <w:sz w:val="36"/>
                <w:szCs w:val="36"/>
              </w:rPr>
            </w:pPr>
            <w:r>
              <w:rPr>
                <w:rFonts w:eastAsia="黑体"/>
                <w:color w:val="000000"/>
                <w:sz w:val="32"/>
                <w:szCs w:val="32"/>
              </w:rPr>
              <w:t>专项督办类别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88"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1</w:t>
            </w:r>
          </w:p>
        </w:tc>
        <w:tc>
          <w:tcPr>
            <w:tcW w:w="1842"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市人大</w:t>
            </w:r>
          </w:p>
          <w:p>
            <w:pPr>
              <w:overflowPunct w:val="0"/>
              <w:spacing w:line="400" w:lineRule="exact"/>
              <w:jc w:val="center"/>
              <w:rPr>
                <w:rFonts w:eastAsia="仿宋_GB2312"/>
                <w:color w:val="000000"/>
                <w:sz w:val="32"/>
                <w:szCs w:val="32"/>
              </w:rPr>
            </w:pPr>
            <w:r>
              <w:rPr>
                <w:rFonts w:eastAsia="仿宋_GB2312"/>
                <w:color w:val="000000"/>
                <w:sz w:val="32"/>
                <w:szCs w:val="32"/>
              </w:rPr>
              <w:t>监察司法委</w:t>
            </w:r>
          </w:p>
        </w:tc>
        <w:tc>
          <w:tcPr>
            <w:tcW w:w="1701" w:type="dxa"/>
            <w:vAlign w:val="center"/>
          </w:tcPr>
          <w:p>
            <w:pPr>
              <w:overflowPunct w:val="0"/>
              <w:spacing w:line="560" w:lineRule="exact"/>
              <w:jc w:val="center"/>
              <w:rPr>
                <w:rFonts w:eastAsia="仿宋_GB2312"/>
                <w:color w:val="000000"/>
                <w:sz w:val="32"/>
                <w:szCs w:val="32"/>
                <w:lang w:val="en"/>
              </w:rPr>
            </w:pPr>
            <w:r>
              <w:rPr>
                <w:rFonts w:eastAsia="仿宋_GB2312"/>
                <w:color w:val="000000"/>
                <w:sz w:val="32"/>
                <w:szCs w:val="32"/>
                <w:lang w:val="en"/>
              </w:rPr>
              <w:t>44</w:t>
            </w:r>
            <w:r>
              <w:rPr>
                <w:rFonts w:hint="eastAsia" w:eastAsia="仿宋_GB2312"/>
                <w:color w:val="000000"/>
                <w:sz w:val="32"/>
                <w:szCs w:val="32"/>
                <w:lang w:val="en"/>
              </w:rPr>
              <w:t>件</w:t>
            </w:r>
          </w:p>
        </w:tc>
        <w:tc>
          <w:tcPr>
            <w:tcW w:w="4529" w:type="dxa"/>
            <w:vAlign w:val="center"/>
          </w:tcPr>
          <w:p>
            <w:pPr>
              <w:overflowPunct w:val="0"/>
              <w:spacing w:line="400" w:lineRule="exact"/>
              <w:rPr>
                <w:rFonts w:eastAsia="仿宋_GB2312"/>
                <w:color w:val="000000"/>
                <w:sz w:val="32"/>
                <w:szCs w:val="32"/>
              </w:rPr>
            </w:pPr>
            <w:r>
              <w:rPr>
                <w:rFonts w:eastAsia="仿宋_GB2312"/>
                <w:color w:val="000000"/>
                <w:spacing w:val="-8"/>
                <w:sz w:val="32"/>
                <w:szCs w:val="32"/>
              </w:rPr>
              <w:t>关于反电信网络诈骗方面的建议</w:t>
            </w:r>
            <w:r>
              <w:rPr>
                <w:rFonts w:eastAsia="仿宋_GB2312"/>
                <w:color w:val="000000"/>
                <w:sz w:val="32"/>
                <w:szCs w:val="32"/>
              </w:rPr>
              <w:t>（</w:t>
            </w:r>
            <w:r>
              <w:rPr>
                <w:rFonts w:eastAsia="仿宋_GB2312"/>
                <w:color w:val="000000"/>
                <w:sz w:val="32"/>
                <w:szCs w:val="32"/>
                <w:lang w:val="en"/>
              </w:rPr>
              <w:t>2件</w:t>
            </w:r>
            <w:r>
              <w:rPr>
                <w:rFonts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88"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2</w:t>
            </w:r>
          </w:p>
        </w:tc>
        <w:tc>
          <w:tcPr>
            <w:tcW w:w="1842"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市人大</w:t>
            </w:r>
          </w:p>
          <w:p>
            <w:pPr>
              <w:overflowPunct w:val="0"/>
              <w:spacing w:line="400" w:lineRule="exact"/>
              <w:jc w:val="center"/>
              <w:rPr>
                <w:rFonts w:eastAsia="仿宋_GB2312"/>
                <w:color w:val="000000"/>
                <w:sz w:val="32"/>
                <w:szCs w:val="32"/>
              </w:rPr>
            </w:pPr>
            <w:r>
              <w:rPr>
                <w:rFonts w:eastAsia="仿宋_GB2312"/>
                <w:color w:val="000000"/>
                <w:sz w:val="32"/>
                <w:szCs w:val="32"/>
              </w:rPr>
              <w:t>财经委</w:t>
            </w:r>
          </w:p>
        </w:tc>
        <w:tc>
          <w:tcPr>
            <w:tcW w:w="1701" w:type="dxa"/>
            <w:vAlign w:val="center"/>
          </w:tcPr>
          <w:p>
            <w:pPr>
              <w:overflowPunct w:val="0"/>
              <w:spacing w:line="560" w:lineRule="exact"/>
              <w:jc w:val="center"/>
              <w:rPr>
                <w:rFonts w:eastAsia="仿宋_GB2312"/>
                <w:color w:val="000000"/>
                <w:sz w:val="32"/>
                <w:szCs w:val="32"/>
                <w:lang w:val="en"/>
              </w:rPr>
            </w:pPr>
            <w:r>
              <w:rPr>
                <w:rFonts w:eastAsia="仿宋_GB2312"/>
                <w:color w:val="000000"/>
                <w:sz w:val="32"/>
                <w:szCs w:val="32"/>
                <w:lang w:val="en"/>
              </w:rPr>
              <w:t>124</w:t>
            </w:r>
            <w:r>
              <w:rPr>
                <w:rFonts w:hint="eastAsia" w:eastAsia="仿宋_GB2312"/>
                <w:color w:val="000000"/>
                <w:sz w:val="32"/>
                <w:szCs w:val="32"/>
                <w:lang w:val="en"/>
              </w:rPr>
              <w:t>件</w:t>
            </w:r>
          </w:p>
        </w:tc>
        <w:tc>
          <w:tcPr>
            <w:tcW w:w="4529" w:type="dxa"/>
            <w:vAlign w:val="center"/>
          </w:tcPr>
          <w:p>
            <w:pPr>
              <w:overflowPunct w:val="0"/>
              <w:spacing w:line="400" w:lineRule="exact"/>
              <w:rPr>
                <w:rFonts w:eastAsia="仿宋_GB2312"/>
                <w:color w:val="000000"/>
                <w:sz w:val="32"/>
                <w:szCs w:val="32"/>
              </w:rPr>
            </w:pPr>
            <w:r>
              <w:rPr>
                <w:rFonts w:eastAsia="仿宋_GB2312"/>
                <w:color w:val="000000"/>
                <w:sz w:val="32"/>
                <w:szCs w:val="32"/>
              </w:rPr>
              <w:t>关于促进数字经济发展方面的建议（</w:t>
            </w:r>
            <w:r>
              <w:rPr>
                <w:rFonts w:eastAsia="仿宋_GB2312"/>
                <w:color w:val="000000"/>
                <w:sz w:val="32"/>
                <w:szCs w:val="32"/>
                <w:lang w:val="en"/>
              </w:rPr>
              <w:t>15</w:t>
            </w:r>
            <w:r>
              <w:rPr>
                <w:rFonts w:eastAsia="仿宋_GB2312"/>
                <w:color w:val="000000"/>
                <w:sz w:val="32"/>
                <w:szCs w:val="3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88"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3</w:t>
            </w:r>
          </w:p>
        </w:tc>
        <w:tc>
          <w:tcPr>
            <w:tcW w:w="1842"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市人大</w:t>
            </w:r>
          </w:p>
          <w:p>
            <w:pPr>
              <w:overflowPunct w:val="0"/>
              <w:spacing w:line="400" w:lineRule="exact"/>
              <w:jc w:val="center"/>
              <w:rPr>
                <w:rFonts w:eastAsia="仿宋_GB2312"/>
                <w:color w:val="000000"/>
                <w:sz w:val="32"/>
                <w:szCs w:val="32"/>
              </w:rPr>
            </w:pPr>
            <w:r>
              <w:rPr>
                <w:rFonts w:eastAsia="仿宋_GB2312"/>
                <w:color w:val="000000"/>
                <w:sz w:val="32"/>
                <w:szCs w:val="32"/>
              </w:rPr>
              <w:t>教科文卫委</w:t>
            </w:r>
          </w:p>
        </w:tc>
        <w:tc>
          <w:tcPr>
            <w:tcW w:w="1701" w:type="dxa"/>
            <w:vAlign w:val="center"/>
          </w:tcPr>
          <w:p>
            <w:pPr>
              <w:overflowPunct w:val="0"/>
              <w:spacing w:line="560" w:lineRule="exact"/>
              <w:jc w:val="center"/>
              <w:rPr>
                <w:rFonts w:eastAsia="仿宋_GB2312"/>
                <w:color w:val="000000"/>
                <w:sz w:val="32"/>
                <w:szCs w:val="32"/>
                <w:lang w:val="en"/>
              </w:rPr>
            </w:pPr>
            <w:r>
              <w:rPr>
                <w:rFonts w:eastAsia="仿宋_GB2312"/>
                <w:color w:val="000000"/>
                <w:sz w:val="32"/>
                <w:szCs w:val="32"/>
                <w:lang w:val="en"/>
              </w:rPr>
              <w:t>161</w:t>
            </w:r>
            <w:r>
              <w:rPr>
                <w:rFonts w:hint="eastAsia" w:eastAsia="仿宋_GB2312"/>
                <w:color w:val="000000"/>
                <w:sz w:val="32"/>
                <w:szCs w:val="32"/>
                <w:lang w:val="en"/>
              </w:rPr>
              <w:t>件</w:t>
            </w:r>
          </w:p>
        </w:tc>
        <w:tc>
          <w:tcPr>
            <w:tcW w:w="4529" w:type="dxa"/>
            <w:vAlign w:val="center"/>
          </w:tcPr>
          <w:p>
            <w:pPr>
              <w:overflowPunct w:val="0"/>
              <w:spacing w:line="400" w:lineRule="exact"/>
              <w:rPr>
                <w:rFonts w:eastAsia="仿宋_GB2312"/>
                <w:color w:val="000000"/>
                <w:sz w:val="32"/>
                <w:szCs w:val="32"/>
              </w:rPr>
            </w:pPr>
            <w:r>
              <w:rPr>
                <w:rFonts w:eastAsia="仿宋_GB2312"/>
                <w:color w:val="000000"/>
                <w:sz w:val="32"/>
                <w:szCs w:val="32"/>
              </w:rPr>
              <w:t>加强青少年心理健康教育方面的建议（</w:t>
            </w:r>
            <w:r>
              <w:rPr>
                <w:rFonts w:eastAsia="仿宋_GB2312"/>
                <w:color w:val="000000"/>
                <w:sz w:val="32"/>
                <w:szCs w:val="32"/>
                <w:lang w:val="en"/>
              </w:rPr>
              <w:t>5件</w:t>
            </w:r>
            <w:r>
              <w:rPr>
                <w:rFonts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88"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4</w:t>
            </w:r>
          </w:p>
        </w:tc>
        <w:tc>
          <w:tcPr>
            <w:tcW w:w="1842"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市人大</w:t>
            </w:r>
          </w:p>
          <w:p>
            <w:pPr>
              <w:overflowPunct w:val="0"/>
              <w:spacing w:line="400" w:lineRule="exact"/>
              <w:jc w:val="center"/>
              <w:rPr>
                <w:rFonts w:eastAsia="仿宋_GB2312"/>
                <w:color w:val="000000"/>
                <w:sz w:val="32"/>
                <w:szCs w:val="32"/>
              </w:rPr>
            </w:pPr>
            <w:r>
              <w:rPr>
                <w:rFonts w:eastAsia="仿宋_GB2312"/>
                <w:color w:val="000000"/>
                <w:sz w:val="32"/>
                <w:szCs w:val="32"/>
              </w:rPr>
              <w:t>城建环保委</w:t>
            </w:r>
          </w:p>
        </w:tc>
        <w:tc>
          <w:tcPr>
            <w:tcW w:w="1701" w:type="dxa"/>
            <w:vAlign w:val="center"/>
          </w:tcPr>
          <w:p>
            <w:pPr>
              <w:overflowPunct w:val="0"/>
              <w:spacing w:line="580" w:lineRule="exact"/>
              <w:jc w:val="center"/>
              <w:rPr>
                <w:rFonts w:eastAsia="仿宋_GB2312"/>
                <w:color w:val="000000"/>
                <w:sz w:val="32"/>
                <w:szCs w:val="32"/>
                <w:lang w:val="en"/>
              </w:rPr>
            </w:pPr>
            <w:r>
              <w:rPr>
                <w:rFonts w:eastAsia="仿宋_GB2312"/>
                <w:color w:val="000000"/>
                <w:sz w:val="32"/>
                <w:szCs w:val="32"/>
                <w:lang w:val="en"/>
              </w:rPr>
              <w:t>151</w:t>
            </w:r>
            <w:r>
              <w:rPr>
                <w:rFonts w:hint="eastAsia" w:eastAsia="仿宋_GB2312"/>
                <w:color w:val="000000"/>
                <w:sz w:val="32"/>
                <w:szCs w:val="32"/>
                <w:lang w:val="en"/>
              </w:rPr>
              <w:t>件</w:t>
            </w:r>
          </w:p>
        </w:tc>
        <w:tc>
          <w:tcPr>
            <w:tcW w:w="4529" w:type="dxa"/>
            <w:vAlign w:val="center"/>
          </w:tcPr>
          <w:p>
            <w:pPr>
              <w:overflowPunct w:val="0"/>
              <w:spacing w:line="400" w:lineRule="exact"/>
              <w:rPr>
                <w:rFonts w:eastAsia="仿宋_GB2312"/>
                <w:color w:val="000000"/>
                <w:sz w:val="32"/>
                <w:szCs w:val="32"/>
              </w:rPr>
            </w:pPr>
            <w:r>
              <w:rPr>
                <w:rFonts w:eastAsia="仿宋_GB2312"/>
                <w:color w:val="000000"/>
                <w:sz w:val="32"/>
                <w:szCs w:val="32"/>
              </w:rPr>
              <w:t>关于绿色交通发展方面的建议（</w:t>
            </w:r>
            <w:r>
              <w:rPr>
                <w:rFonts w:eastAsia="仿宋_GB2312"/>
                <w:color w:val="000000"/>
                <w:sz w:val="32"/>
                <w:szCs w:val="32"/>
                <w:lang w:val="en"/>
              </w:rPr>
              <w:t>7件</w:t>
            </w:r>
            <w:r>
              <w:rPr>
                <w:rFonts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88" w:type="dxa"/>
            <w:vMerge w:val="restart"/>
            <w:vAlign w:val="center"/>
          </w:tcPr>
          <w:p>
            <w:pPr>
              <w:overflowPunct w:val="0"/>
              <w:spacing w:line="400" w:lineRule="exact"/>
              <w:jc w:val="center"/>
              <w:rPr>
                <w:rFonts w:eastAsia="仿宋_GB2312"/>
                <w:color w:val="000000"/>
                <w:sz w:val="32"/>
                <w:szCs w:val="32"/>
              </w:rPr>
            </w:pPr>
            <w:r>
              <w:rPr>
                <w:rFonts w:eastAsia="仿宋_GB2312"/>
                <w:color w:val="000000"/>
                <w:sz w:val="32"/>
                <w:szCs w:val="32"/>
              </w:rPr>
              <w:t>5</w:t>
            </w:r>
          </w:p>
        </w:tc>
        <w:tc>
          <w:tcPr>
            <w:tcW w:w="1842" w:type="dxa"/>
            <w:vMerge w:val="restart"/>
            <w:vAlign w:val="center"/>
          </w:tcPr>
          <w:p>
            <w:pPr>
              <w:overflowPunct w:val="0"/>
              <w:spacing w:line="400" w:lineRule="exact"/>
              <w:jc w:val="center"/>
              <w:rPr>
                <w:rFonts w:eastAsia="仿宋_GB2312"/>
                <w:color w:val="000000"/>
                <w:sz w:val="32"/>
                <w:szCs w:val="32"/>
              </w:rPr>
            </w:pPr>
            <w:r>
              <w:rPr>
                <w:rFonts w:eastAsia="仿宋_GB2312"/>
                <w:color w:val="000000"/>
                <w:sz w:val="32"/>
                <w:szCs w:val="32"/>
              </w:rPr>
              <w:t>市人大</w:t>
            </w:r>
          </w:p>
          <w:p>
            <w:pPr>
              <w:overflowPunct w:val="0"/>
              <w:spacing w:line="400" w:lineRule="exact"/>
              <w:jc w:val="center"/>
              <w:rPr>
                <w:rFonts w:eastAsia="仿宋_GB2312"/>
                <w:color w:val="000000"/>
                <w:sz w:val="32"/>
                <w:szCs w:val="32"/>
              </w:rPr>
            </w:pPr>
            <w:r>
              <w:rPr>
                <w:rFonts w:eastAsia="仿宋_GB2312"/>
                <w:color w:val="000000"/>
                <w:sz w:val="32"/>
                <w:szCs w:val="32"/>
              </w:rPr>
              <w:t>农村委</w:t>
            </w:r>
          </w:p>
        </w:tc>
        <w:tc>
          <w:tcPr>
            <w:tcW w:w="1701" w:type="dxa"/>
            <w:vMerge w:val="restart"/>
            <w:vAlign w:val="center"/>
          </w:tcPr>
          <w:p>
            <w:pPr>
              <w:overflowPunct w:val="0"/>
              <w:spacing w:line="400" w:lineRule="exact"/>
              <w:jc w:val="center"/>
              <w:rPr>
                <w:rFonts w:eastAsia="仿宋_GB2312"/>
                <w:color w:val="000000"/>
                <w:sz w:val="32"/>
                <w:szCs w:val="32"/>
              </w:rPr>
            </w:pPr>
            <w:r>
              <w:rPr>
                <w:rFonts w:eastAsia="仿宋_GB2312"/>
                <w:color w:val="000000"/>
                <w:sz w:val="32"/>
                <w:szCs w:val="32"/>
                <w:lang w:val="en"/>
              </w:rPr>
              <w:t>62</w:t>
            </w:r>
            <w:r>
              <w:rPr>
                <w:rFonts w:hint="eastAsia" w:eastAsia="仿宋_GB2312"/>
                <w:color w:val="000000"/>
                <w:sz w:val="32"/>
                <w:szCs w:val="32"/>
                <w:lang w:val="en"/>
              </w:rPr>
              <w:t>件</w:t>
            </w:r>
          </w:p>
        </w:tc>
        <w:tc>
          <w:tcPr>
            <w:tcW w:w="4529" w:type="dxa"/>
            <w:vAlign w:val="center"/>
          </w:tcPr>
          <w:p>
            <w:pPr>
              <w:overflowPunct w:val="0"/>
              <w:spacing w:line="400" w:lineRule="exact"/>
              <w:rPr>
                <w:rFonts w:eastAsia="仿宋_GB2312"/>
                <w:color w:val="000000"/>
                <w:sz w:val="32"/>
                <w:szCs w:val="32"/>
                <w:lang w:val="en"/>
              </w:rPr>
            </w:pPr>
            <w:r>
              <w:rPr>
                <w:rFonts w:eastAsia="仿宋_GB2312"/>
                <w:color w:val="000000"/>
                <w:sz w:val="32"/>
                <w:szCs w:val="32"/>
              </w:rPr>
              <w:t>关于发展壮大农村集体经济方面的建议（</w:t>
            </w:r>
            <w:r>
              <w:rPr>
                <w:rFonts w:eastAsia="仿宋_GB2312"/>
                <w:color w:val="000000"/>
                <w:sz w:val="32"/>
                <w:szCs w:val="32"/>
                <w:lang w:val="en"/>
              </w:rPr>
              <w:t>6件</w:t>
            </w:r>
            <w:r>
              <w:rPr>
                <w:rFonts w:eastAsia="仿宋_GB2312"/>
                <w:color w:val="00000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88" w:type="dxa"/>
            <w:vMerge w:val="continue"/>
            <w:vAlign w:val="center"/>
          </w:tcPr>
          <w:p>
            <w:pPr>
              <w:overflowPunct w:val="0"/>
              <w:spacing w:line="400" w:lineRule="exact"/>
              <w:jc w:val="center"/>
              <w:rPr>
                <w:rFonts w:eastAsia="仿宋_GB2312"/>
                <w:color w:val="000000"/>
                <w:sz w:val="32"/>
                <w:szCs w:val="32"/>
              </w:rPr>
            </w:pPr>
          </w:p>
        </w:tc>
        <w:tc>
          <w:tcPr>
            <w:tcW w:w="1842" w:type="dxa"/>
            <w:vMerge w:val="continue"/>
            <w:vAlign w:val="center"/>
          </w:tcPr>
          <w:p>
            <w:pPr>
              <w:overflowPunct w:val="0"/>
              <w:spacing w:line="400" w:lineRule="exact"/>
              <w:jc w:val="center"/>
              <w:rPr>
                <w:rFonts w:eastAsia="仿宋_GB2312"/>
                <w:color w:val="000000"/>
                <w:sz w:val="32"/>
                <w:szCs w:val="32"/>
              </w:rPr>
            </w:pPr>
          </w:p>
        </w:tc>
        <w:tc>
          <w:tcPr>
            <w:tcW w:w="1701" w:type="dxa"/>
            <w:vMerge w:val="continue"/>
            <w:vAlign w:val="center"/>
          </w:tcPr>
          <w:p>
            <w:pPr>
              <w:overflowPunct w:val="0"/>
              <w:spacing w:line="400" w:lineRule="exact"/>
              <w:jc w:val="center"/>
              <w:rPr>
                <w:rFonts w:eastAsia="仿宋_GB2312"/>
                <w:color w:val="000000"/>
                <w:sz w:val="32"/>
                <w:szCs w:val="32"/>
                <w:lang w:val="en"/>
              </w:rPr>
            </w:pPr>
          </w:p>
        </w:tc>
        <w:tc>
          <w:tcPr>
            <w:tcW w:w="4529" w:type="dxa"/>
            <w:vAlign w:val="center"/>
          </w:tcPr>
          <w:p>
            <w:pPr>
              <w:overflowPunct w:val="0"/>
              <w:spacing w:line="400" w:lineRule="exact"/>
              <w:rPr>
                <w:rFonts w:eastAsia="仿宋_GB2312"/>
                <w:color w:val="000000"/>
                <w:sz w:val="32"/>
                <w:szCs w:val="32"/>
              </w:rPr>
            </w:pPr>
            <w:r>
              <w:rPr>
                <w:rFonts w:eastAsia="仿宋_GB2312"/>
                <w:color w:val="000000"/>
                <w:spacing w:val="-8"/>
                <w:sz w:val="32"/>
                <w:szCs w:val="32"/>
              </w:rPr>
              <w:t>关于种业发展方面的建议（5件）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overflowPunct w:val="0"/>
              <w:spacing w:line="400" w:lineRule="exact"/>
              <w:jc w:val="center"/>
              <w:rPr>
                <w:rFonts w:eastAsia="仿宋_GB2312"/>
                <w:color w:val="000000"/>
                <w:sz w:val="32"/>
                <w:szCs w:val="32"/>
              </w:rPr>
            </w:pPr>
            <w:r>
              <w:rPr>
                <w:rFonts w:eastAsia="仿宋_GB2312"/>
                <w:color w:val="000000"/>
                <w:sz w:val="32"/>
                <w:szCs w:val="32"/>
              </w:rPr>
              <w:t>6</w:t>
            </w:r>
          </w:p>
        </w:tc>
        <w:tc>
          <w:tcPr>
            <w:tcW w:w="1842" w:type="dxa"/>
            <w:vAlign w:val="center"/>
          </w:tcPr>
          <w:p>
            <w:pPr>
              <w:overflowPunct w:val="0"/>
              <w:spacing w:line="400" w:lineRule="exact"/>
              <w:jc w:val="center"/>
              <w:rPr>
                <w:rFonts w:eastAsia="仿宋_GB2312"/>
                <w:sz w:val="32"/>
                <w:szCs w:val="32"/>
              </w:rPr>
            </w:pPr>
            <w:r>
              <w:rPr>
                <w:rFonts w:eastAsia="仿宋_GB2312"/>
                <w:sz w:val="32"/>
                <w:szCs w:val="32"/>
              </w:rPr>
              <w:t>市人大</w:t>
            </w:r>
          </w:p>
          <w:p>
            <w:pPr>
              <w:overflowPunct w:val="0"/>
              <w:spacing w:line="400" w:lineRule="exact"/>
              <w:jc w:val="center"/>
              <w:rPr>
                <w:rFonts w:eastAsia="仿宋_GB2312"/>
                <w:sz w:val="32"/>
                <w:szCs w:val="32"/>
              </w:rPr>
            </w:pPr>
            <w:r>
              <w:rPr>
                <w:rFonts w:eastAsia="仿宋_GB2312"/>
                <w:sz w:val="32"/>
                <w:szCs w:val="32"/>
              </w:rPr>
              <w:t>民宗侨外委</w:t>
            </w:r>
          </w:p>
        </w:tc>
        <w:tc>
          <w:tcPr>
            <w:tcW w:w="1701" w:type="dxa"/>
            <w:vAlign w:val="center"/>
          </w:tcPr>
          <w:p>
            <w:pPr>
              <w:overflowPunct w:val="0"/>
              <w:spacing w:line="400" w:lineRule="exact"/>
              <w:jc w:val="center"/>
              <w:rPr>
                <w:rFonts w:eastAsia="仿宋_GB2312"/>
                <w:sz w:val="32"/>
                <w:szCs w:val="32"/>
              </w:rPr>
            </w:pPr>
            <w:r>
              <w:rPr>
                <w:rFonts w:eastAsia="仿宋_GB2312"/>
                <w:sz w:val="32"/>
                <w:szCs w:val="32"/>
                <w:lang w:val="en"/>
              </w:rPr>
              <w:t>2</w:t>
            </w:r>
            <w:r>
              <w:rPr>
                <w:rFonts w:hint="eastAsia" w:eastAsia="仿宋_GB2312"/>
                <w:sz w:val="32"/>
                <w:szCs w:val="32"/>
                <w:lang w:val="en"/>
              </w:rPr>
              <w:t>件</w:t>
            </w:r>
          </w:p>
        </w:tc>
        <w:tc>
          <w:tcPr>
            <w:tcW w:w="4529" w:type="dxa"/>
            <w:vAlign w:val="center"/>
          </w:tcPr>
          <w:p>
            <w:pPr>
              <w:overflowPunct w:val="0"/>
              <w:spacing w:line="530" w:lineRule="exact"/>
              <w:rPr>
                <w:rFonts w:eastAsia="仿宋_GB2312"/>
                <w:color w:val="000000"/>
                <w:sz w:val="32"/>
                <w:szCs w:val="32"/>
              </w:rPr>
            </w:pPr>
            <w:r>
              <w:rPr>
                <w:rFonts w:eastAsia="仿宋_GB2312"/>
                <w:sz w:val="32"/>
                <w:szCs w:val="32"/>
              </w:rPr>
              <w:t>关于深入推进我国宗教中国化进程不断提高新时代北京宗教工作水平的建议（</w:t>
            </w:r>
            <w:r>
              <w:rPr>
                <w:rFonts w:hint="eastAsia" w:eastAsia="仿宋_GB2312"/>
                <w:sz w:val="32"/>
                <w:szCs w:val="32"/>
              </w:rPr>
              <w:t>1</w:t>
            </w:r>
            <w:r>
              <w:rPr>
                <w:rFonts w:eastAsia="仿宋_GB2312"/>
                <w:sz w:val="32"/>
                <w:szCs w:val="32"/>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vAlign w:val="center"/>
          </w:tcPr>
          <w:p>
            <w:pPr>
              <w:overflowPunct w:val="0"/>
              <w:spacing w:line="400" w:lineRule="exact"/>
              <w:jc w:val="center"/>
              <w:rPr>
                <w:rFonts w:eastAsia="仿宋_GB2312"/>
                <w:color w:val="000000"/>
                <w:sz w:val="32"/>
                <w:szCs w:val="32"/>
              </w:rPr>
            </w:pPr>
            <w:r>
              <w:rPr>
                <w:rFonts w:eastAsia="仿宋_GB2312"/>
                <w:color w:val="000000"/>
                <w:sz w:val="32"/>
                <w:szCs w:val="32"/>
              </w:rPr>
              <w:t>7</w:t>
            </w:r>
          </w:p>
        </w:tc>
        <w:tc>
          <w:tcPr>
            <w:tcW w:w="1842" w:type="dxa"/>
            <w:vMerge w:val="restart"/>
            <w:vAlign w:val="center"/>
          </w:tcPr>
          <w:p>
            <w:pPr>
              <w:overflowPunct w:val="0"/>
              <w:spacing w:line="400" w:lineRule="exact"/>
              <w:jc w:val="center"/>
              <w:rPr>
                <w:rFonts w:eastAsia="仿宋_GB2312"/>
                <w:sz w:val="32"/>
                <w:szCs w:val="32"/>
              </w:rPr>
            </w:pPr>
            <w:r>
              <w:rPr>
                <w:rFonts w:eastAsia="仿宋_GB2312"/>
                <w:sz w:val="32"/>
                <w:szCs w:val="32"/>
              </w:rPr>
              <w:t>市人大</w:t>
            </w:r>
          </w:p>
          <w:p>
            <w:pPr>
              <w:overflowPunct w:val="0"/>
              <w:spacing w:line="400" w:lineRule="exact"/>
              <w:jc w:val="center"/>
              <w:rPr>
                <w:rFonts w:eastAsia="仿宋_GB2312"/>
                <w:sz w:val="32"/>
                <w:szCs w:val="32"/>
              </w:rPr>
            </w:pPr>
            <w:r>
              <w:rPr>
                <w:rFonts w:eastAsia="仿宋_GB2312"/>
                <w:sz w:val="32"/>
                <w:szCs w:val="32"/>
              </w:rPr>
              <w:t>社会建设委</w:t>
            </w:r>
          </w:p>
        </w:tc>
        <w:tc>
          <w:tcPr>
            <w:tcW w:w="1701" w:type="dxa"/>
            <w:vMerge w:val="restart"/>
            <w:vAlign w:val="center"/>
          </w:tcPr>
          <w:p>
            <w:pPr>
              <w:overflowPunct w:val="0"/>
              <w:spacing w:line="400" w:lineRule="exact"/>
              <w:jc w:val="center"/>
              <w:rPr>
                <w:rFonts w:eastAsia="仿宋_GB2312"/>
                <w:sz w:val="32"/>
                <w:szCs w:val="32"/>
              </w:rPr>
            </w:pPr>
            <w:r>
              <w:rPr>
                <w:rFonts w:eastAsia="仿宋_GB2312"/>
                <w:sz w:val="32"/>
                <w:szCs w:val="32"/>
                <w:lang w:val="en"/>
              </w:rPr>
              <w:t>64</w:t>
            </w:r>
            <w:r>
              <w:rPr>
                <w:rFonts w:hint="eastAsia" w:eastAsia="仿宋_GB2312"/>
                <w:sz w:val="32"/>
                <w:szCs w:val="32"/>
                <w:lang w:val="en"/>
              </w:rPr>
              <w:t>件</w:t>
            </w:r>
          </w:p>
        </w:tc>
        <w:tc>
          <w:tcPr>
            <w:tcW w:w="4529" w:type="dxa"/>
            <w:vAlign w:val="center"/>
          </w:tcPr>
          <w:p>
            <w:pPr>
              <w:overflowPunct w:val="0"/>
              <w:spacing w:line="530" w:lineRule="exact"/>
              <w:rPr>
                <w:rFonts w:eastAsia="仿宋_GB2312"/>
                <w:sz w:val="32"/>
                <w:szCs w:val="32"/>
              </w:rPr>
            </w:pPr>
            <w:r>
              <w:rPr>
                <w:rFonts w:eastAsia="仿宋_GB2312"/>
                <w:sz w:val="32"/>
                <w:szCs w:val="32"/>
              </w:rPr>
              <w:t>关于老残家庭养老方面的建议（</w:t>
            </w:r>
            <w:r>
              <w:rPr>
                <w:rFonts w:eastAsia="仿宋_GB2312"/>
                <w:sz w:val="32"/>
                <w:szCs w:val="32"/>
                <w:lang w:val="en"/>
              </w:rPr>
              <w:t>2件</w:t>
            </w:r>
            <w:r>
              <w:rPr>
                <w:rFonts w:eastAsia="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88" w:type="dxa"/>
            <w:vMerge w:val="continue"/>
            <w:vAlign w:val="center"/>
          </w:tcPr>
          <w:p>
            <w:pPr>
              <w:overflowPunct w:val="0"/>
              <w:spacing w:line="400" w:lineRule="exact"/>
            </w:pPr>
          </w:p>
        </w:tc>
        <w:tc>
          <w:tcPr>
            <w:tcW w:w="1842" w:type="dxa"/>
            <w:vMerge w:val="continue"/>
            <w:vAlign w:val="center"/>
          </w:tcPr>
          <w:p>
            <w:pPr>
              <w:overflowPunct w:val="0"/>
              <w:spacing w:line="400" w:lineRule="exact"/>
            </w:pPr>
          </w:p>
        </w:tc>
        <w:tc>
          <w:tcPr>
            <w:tcW w:w="1701" w:type="dxa"/>
            <w:vMerge w:val="continue"/>
            <w:vAlign w:val="center"/>
          </w:tcPr>
          <w:p>
            <w:pPr>
              <w:overflowPunct w:val="0"/>
              <w:spacing w:line="400" w:lineRule="exact"/>
            </w:pPr>
          </w:p>
        </w:tc>
        <w:tc>
          <w:tcPr>
            <w:tcW w:w="4529" w:type="dxa"/>
            <w:vAlign w:val="center"/>
          </w:tcPr>
          <w:p>
            <w:pPr>
              <w:overflowPunct w:val="0"/>
              <w:spacing w:line="400" w:lineRule="exact"/>
              <w:rPr>
                <w:rFonts w:eastAsia="仿宋_GB2312"/>
                <w:sz w:val="32"/>
                <w:szCs w:val="32"/>
              </w:rPr>
            </w:pPr>
            <w:r>
              <w:rPr>
                <w:rFonts w:eastAsia="仿宋_GB2312"/>
                <w:color w:val="000000"/>
                <w:spacing w:val="-8"/>
                <w:sz w:val="32"/>
                <w:szCs w:val="32"/>
              </w:rPr>
              <w:t>关于社区治理方面的建议（</w:t>
            </w:r>
            <w:r>
              <w:rPr>
                <w:rFonts w:hint="eastAsia" w:eastAsia="仿宋_GB2312"/>
                <w:color w:val="000000"/>
                <w:spacing w:val="-8"/>
                <w:sz w:val="32"/>
                <w:szCs w:val="32"/>
              </w:rPr>
              <w:t>2</w:t>
            </w:r>
            <w:r>
              <w:rPr>
                <w:rFonts w:eastAsia="仿宋_GB2312"/>
                <w:color w:val="000000"/>
                <w:spacing w:val="-8"/>
                <w:sz w:val="32"/>
                <w:szCs w:val="32"/>
              </w:rPr>
              <w:t>件）</w:t>
            </w:r>
          </w:p>
        </w:tc>
      </w:tr>
    </w:tbl>
    <w:p>
      <w:pPr>
        <w:tabs>
          <w:tab w:val="left" w:pos="7245"/>
        </w:tabs>
        <w:overflowPunct w:val="0"/>
        <w:spacing w:line="20" w:lineRule="exact"/>
      </w:pPr>
    </w:p>
    <w:p/>
    <w:sectPr>
      <w:headerReference r:id="rId3" w:type="default"/>
      <w:footerReference r:id="rId4" w:type="default"/>
      <w:footerReference r:id="rId5" w:type="even"/>
      <w:pgSz w:w="11906" w:h="16838"/>
      <w:pgMar w:top="2098" w:right="1418" w:bottom="1871" w:left="141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8"/>
        <w:szCs w:val="28"/>
      </w:rPr>
      <w:id w:val="-622611899"/>
    </w:sdtPr>
    <w:sdtEndPr>
      <w:rPr>
        <w:rFonts w:ascii="Times New Roman" w:hAnsi="Times New Roman" w:eastAsia="宋体" w:cs="Times New Roman"/>
        <w:sz w:val="28"/>
        <w:szCs w:val="28"/>
      </w:rPr>
    </w:sdtEndPr>
    <w:sdtContent>
      <w:p>
        <w:pPr>
          <w:pStyle w:val="2"/>
          <w:jc w:val="right"/>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8"/>
        <w:szCs w:val="28"/>
      </w:rPr>
      <w:id w:val="1444814851"/>
    </w:sdtPr>
    <w:sdtEndPr>
      <w:rPr>
        <w:rFonts w:ascii="Times New Roman" w:hAnsi="Times New Roman" w:eastAsia="宋体" w:cs="Times New Roman"/>
        <w:sz w:val="28"/>
        <w:szCs w:val="28"/>
      </w:rPr>
    </w:sdtEndPr>
    <w:sdtContent>
      <w:p>
        <w:pPr>
          <w:pStyle w:val="2"/>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Tg3MTM2ZjUwNjY0ZTNkNjAyYTEyZWM1ZDNmMTgifQ=="/>
  </w:docVars>
  <w:rsids>
    <w:rsidRoot w:val="00000000"/>
    <w:rsid w:val="305F4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2023-03-28T08:21:35Z</dcterms:created>
  <dc:creator>tongyuhan</dc:creator>
  <cp:lastModifiedBy>tongyuhan</cp:lastModifiedBy>
  <dcterms:modified xsi:type="dcterms:W3CDTF">2023-03-28T08:21:55Z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B2863AAC122E423685FFB69C7307EA5F_12</vt:lpwstr>
  </property>
</Properties>
</file>