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eastAsia="黑体"/>
          <w:sz w:val="32"/>
          <w:szCs w:val="32"/>
        </w:rPr>
      </w:pPr>
      <w:bookmarkStart w:id="0" w:name="_GoBack"/>
      <w:bookmarkEnd w:id="0"/>
      <w:r>
        <w:rPr>
          <w:rFonts w:eastAsia="黑体"/>
          <w:sz w:val="32"/>
          <w:szCs w:val="32"/>
        </w:rPr>
        <w:t>附件</w:t>
      </w:r>
    </w:p>
    <w:p>
      <w:pPr>
        <w:overflowPunct w:val="0"/>
        <w:spacing w:line="580" w:lineRule="exact"/>
        <w:ind w:firstLine="640" w:firstLineChars="200"/>
        <w:rPr>
          <w:rFonts w:eastAsia="仿宋_GB2312"/>
          <w:sz w:val="32"/>
          <w:szCs w:val="32"/>
        </w:rPr>
      </w:pPr>
    </w:p>
    <w:p>
      <w:pPr>
        <w:overflowPunct w:val="0"/>
        <w:spacing w:line="580" w:lineRule="exact"/>
        <w:ind w:firstLine="640" w:firstLineChars="200"/>
        <w:rPr>
          <w:rFonts w:eastAsia="仿宋_GB2312"/>
          <w:sz w:val="32"/>
          <w:szCs w:val="32"/>
        </w:rPr>
      </w:pPr>
    </w:p>
    <w:p>
      <w:pPr>
        <w:overflowPunct w:val="0"/>
        <w:spacing w:line="580" w:lineRule="exact"/>
        <w:ind w:right="840" w:rightChars="400"/>
        <w:jc w:val="right"/>
        <w:rPr>
          <w:rFonts w:eastAsia="方正小标宋简体"/>
          <w:sz w:val="44"/>
          <w:szCs w:val="44"/>
        </w:rPr>
      </w:pPr>
      <w:r>
        <w:rPr>
          <w:rFonts w:eastAsia="方正小标宋简体"/>
          <w:sz w:val="44"/>
          <w:szCs w:val="44"/>
        </w:rPr>
        <w:t>北京市人民代表大会监察和司法委员会</w:t>
      </w:r>
    </w:p>
    <w:p>
      <w:pPr>
        <w:spacing w:line="580" w:lineRule="exact"/>
        <w:jc w:val="center"/>
        <w:rPr>
          <w:rFonts w:eastAsia="方正小标宋简体"/>
          <w:sz w:val="44"/>
          <w:szCs w:val="44"/>
        </w:rPr>
      </w:pPr>
      <w:r>
        <w:rPr>
          <w:rFonts w:eastAsia="方正小标宋简体"/>
          <w:sz w:val="44"/>
          <w:szCs w:val="44"/>
        </w:rPr>
        <w:t>关于北京市第十五届人民代表大会第</w:t>
      </w:r>
      <w:r>
        <w:rPr>
          <w:rFonts w:hint="eastAsia" w:eastAsia="方正小标宋简体"/>
          <w:sz w:val="44"/>
          <w:szCs w:val="44"/>
        </w:rPr>
        <w:t>五</w:t>
      </w:r>
      <w:r>
        <w:rPr>
          <w:rFonts w:eastAsia="方正小标宋简体"/>
          <w:sz w:val="44"/>
          <w:szCs w:val="44"/>
        </w:rPr>
        <w:t>次会议主席团交付审议的代表提出的</w:t>
      </w:r>
    </w:p>
    <w:p>
      <w:pPr>
        <w:spacing w:line="580" w:lineRule="exact"/>
        <w:jc w:val="center"/>
        <w:rPr>
          <w:rFonts w:eastAsia="方正小标宋简体"/>
          <w:sz w:val="44"/>
          <w:szCs w:val="44"/>
        </w:rPr>
      </w:pPr>
      <w:r>
        <w:rPr>
          <w:rFonts w:eastAsia="方正小标宋简体"/>
          <w:sz w:val="44"/>
          <w:szCs w:val="44"/>
        </w:rPr>
        <w:t>议案的审议意见</w:t>
      </w:r>
    </w:p>
    <w:p>
      <w:pPr>
        <w:overflowPunct w:val="0"/>
        <w:spacing w:line="580" w:lineRule="exact"/>
        <w:ind w:firstLine="640" w:firstLineChars="200"/>
        <w:rPr>
          <w:rFonts w:eastAsia="仿宋_GB2312"/>
          <w:sz w:val="32"/>
          <w:szCs w:val="32"/>
        </w:rPr>
      </w:pPr>
    </w:p>
    <w:p>
      <w:pPr>
        <w:overflowPunct w:val="0"/>
        <w:spacing w:line="580" w:lineRule="exact"/>
        <w:ind w:firstLine="640" w:firstLineChars="200"/>
        <w:rPr>
          <w:rFonts w:eastAsia="仿宋_GB2312"/>
          <w:sz w:val="32"/>
          <w:szCs w:val="32"/>
        </w:rPr>
      </w:pPr>
      <w:r>
        <w:rPr>
          <w:rFonts w:hint="eastAsia" w:eastAsia="仿宋_GB2312"/>
          <w:sz w:val="32"/>
          <w:szCs w:val="32"/>
        </w:rPr>
        <w:t>北京</w:t>
      </w:r>
      <w:r>
        <w:rPr>
          <w:rFonts w:eastAsia="仿宋_GB2312"/>
          <w:sz w:val="32"/>
          <w:szCs w:val="32"/>
        </w:rPr>
        <w:t>市</w:t>
      </w:r>
      <w:r>
        <w:rPr>
          <w:rFonts w:hint="eastAsia" w:eastAsia="仿宋_GB2312"/>
          <w:sz w:val="32"/>
          <w:szCs w:val="32"/>
        </w:rPr>
        <w:t>第</w:t>
      </w:r>
      <w:r>
        <w:rPr>
          <w:rFonts w:eastAsia="仿宋_GB2312"/>
          <w:sz w:val="32"/>
          <w:szCs w:val="32"/>
        </w:rPr>
        <w:t>十五届人民代表大会第</w:t>
      </w:r>
      <w:r>
        <w:rPr>
          <w:rFonts w:hint="eastAsia" w:eastAsia="仿宋_GB2312"/>
          <w:sz w:val="32"/>
          <w:szCs w:val="32"/>
        </w:rPr>
        <w:t>五</w:t>
      </w:r>
      <w:r>
        <w:rPr>
          <w:rFonts w:eastAsia="仿宋_GB2312"/>
          <w:sz w:val="32"/>
          <w:szCs w:val="32"/>
        </w:rPr>
        <w:t>次会议</w:t>
      </w:r>
      <w:r>
        <w:rPr>
          <w:rFonts w:hint="eastAsia" w:eastAsia="仿宋_GB2312"/>
          <w:sz w:val="32"/>
          <w:szCs w:val="32"/>
        </w:rPr>
        <w:t>期间，邰武淳</w:t>
      </w:r>
      <w:r>
        <w:rPr>
          <w:rFonts w:eastAsia="仿宋_GB2312"/>
          <w:sz w:val="32"/>
          <w:szCs w:val="32"/>
        </w:rPr>
        <w:t>等</w:t>
      </w:r>
      <w:r>
        <w:rPr>
          <w:rFonts w:hint="eastAsia" w:eastAsia="仿宋_GB2312"/>
          <w:sz w:val="32"/>
          <w:szCs w:val="32"/>
        </w:rPr>
        <w:t>11</w:t>
      </w:r>
      <w:r>
        <w:rPr>
          <w:rFonts w:eastAsia="仿宋_GB2312"/>
          <w:sz w:val="32"/>
          <w:szCs w:val="32"/>
        </w:rPr>
        <w:t>名代表提出的《关于</w:t>
      </w:r>
      <w:r>
        <w:rPr>
          <w:rFonts w:hint="eastAsia" w:eastAsia="仿宋_GB2312"/>
          <w:sz w:val="32"/>
          <w:szCs w:val="32"/>
        </w:rPr>
        <w:t>尽快修订</w:t>
      </w:r>
      <w:r>
        <w:rPr>
          <w:rFonts w:hint="eastAsia" w:ascii="仿宋_GB2312" w:eastAsia="仿宋_GB2312"/>
          <w:sz w:val="32"/>
          <w:szCs w:val="32"/>
        </w:rPr>
        <w:t>〈</w:t>
      </w:r>
      <w:r>
        <w:rPr>
          <w:rFonts w:hint="eastAsia" w:eastAsia="仿宋_GB2312"/>
          <w:sz w:val="32"/>
          <w:szCs w:val="32"/>
        </w:rPr>
        <w:t>北京市非机动车管理条例</w:t>
      </w:r>
      <w:r>
        <w:rPr>
          <w:rFonts w:hint="eastAsia" w:ascii="仿宋_GB2312" w:eastAsia="仿宋_GB2312"/>
          <w:sz w:val="32"/>
          <w:szCs w:val="32"/>
        </w:rPr>
        <w:t>〉</w:t>
      </w:r>
      <w:r>
        <w:rPr>
          <w:rFonts w:eastAsia="仿宋_GB2312"/>
          <w:sz w:val="32"/>
          <w:szCs w:val="32"/>
        </w:rPr>
        <w:t>的议案》</w:t>
      </w:r>
      <w:r>
        <w:rPr>
          <w:rFonts w:hint="eastAsia" w:eastAsia="仿宋_GB2312"/>
          <w:sz w:val="32"/>
          <w:szCs w:val="32"/>
        </w:rPr>
        <w:t>，经大会</w:t>
      </w:r>
      <w:r>
        <w:rPr>
          <w:rFonts w:eastAsia="仿宋_GB2312"/>
          <w:sz w:val="32"/>
          <w:szCs w:val="32"/>
        </w:rPr>
        <w:t>主席团</w:t>
      </w:r>
      <w:r>
        <w:rPr>
          <w:rFonts w:hint="eastAsia" w:eastAsia="仿宋_GB2312"/>
          <w:sz w:val="32"/>
          <w:szCs w:val="32"/>
        </w:rPr>
        <w:t>决定，</w:t>
      </w:r>
      <w:r>
        <w:rPr>
          <w:rFonts w:eastAsia="仿宋_GB2312"/>
          <w:sz w:val="32"/>
          <w:szCs w:val="32"/>
        </w:rPr>
        <w:t>交监察和司法委员会审议</w:t>
      </w:r>
      <w:r>
        <w:rPr>
          <w:rFonts w:hint="eastAsia" w:eastAsia="仿宋_GB2312"/>
          <w:sz w:val="32"/>
          <w:szCs w:val="32"/>
        </w:rPr>
        <w:t>，并向市人大常委会提出审议结果的报告，由市人大常委会审议。监察和司法委员会</w:t>
      </w:r>
      <w:r>
        <w:rPr>
          <w:rFonts w:eastAsia="仿宋_GB2312"/>
          <w:sz w:val="32"/>
          <w:szCs w:val="32"/>
        </w:rPr>
        <w:t>审议意见如下：</w:t>
      </w:r>
    </w:p>
    <w:p>
      <w:pPr>
        <w:overflowPunct w:val="0"/>
        <w:spacing w:line="580" w:lineRule="exact"/>
        <w:ind w:firstLine="640" w:firstLineChars="200"/>
        <w:rPr>
          <w:rFonts w:eastAsia="仿宋_GB2312"/>
          <w:sz w:val="32"/>
          <w:szCs w:val="32"/>
        </w:rPr>
      </w:pPr>
      <w:r>
        <w:rPr>
          <w:rFonts w:hint="eastAsia" w:eastAsia="仿宋_GB2312"/>
          <w:sz w:val="32"/>
          <w:szCs w:val="32"/>
        </w:rPr>
        <w:t>邰武淳</w:t>
      </w:r>
      <w:r>
        <w:rPr>
          <w:rFonts w:eastAsia="仿宋_GB2312"/>
          <w:sz w:val="32"/>
          <w:szCs w:val="32"/>
        </w:rPr>
        <w:t>等代表提出的</w:t>
      </w:r>
      <w:r>
        <w:rPr>
          <w:rFonts w:hint="eastAsia" w:eastAsia="仿宋_GB2312"/>
          <w:sz w:val="32"/>
          <w:szCs w:val="32"/>
        </w:rPr>
        <w:t>法规</w:t>
      </w:r>
      <w:r>
        <w:rPr>
          <w:rFonts w:eastAsia="仿宋_GB2312"/>
          <w:sz w:val="32"/>
          <w:szCs w:val="32"/>
        </w:rPr>
        <w:t>案</w:t>
      </w:r>
      <w:r>
        <w:rPr>
          <w:rFonts w:hint="eastAsia" w:eastAsia="仿宋_GB2312"/>
          <w:sz w:val="32"/>
          <w:szCs w:val="32"/>
        </w:rPr>
        <w:t>，对本市电动两轮车、电动三四轮车，特别是从事快递、外卖等网约配送活动的车辆交通违法行为频发的情况进</w:t>
      </w:r>
      <w:r>
        <w:rPr>
          <w:rFonts w:eastAsia="仿宋_GB2312"/>
          <w:sz w:val="32"/>
          <w:szCs w:val="32"/>
        </w:rPr>
        <w:t>行了分析，</w:t>
      </w:r>
      <w:r>
        <w:rPr>
          <w:rFonts w:hint="eastAsia" w:eastAsia="仿宋_GB2312"/>
          <w:sz w:val="32"/>
          <w:szCs w:val="32"/>
        </w:rPr>
        <w:t>建议通过修订《北京市非机动车管理条例》，强化对本市快递、外卖车辆的管理，出台配套管理细则，规范和整治快递、外卖等新兴行业从业人员的出行驾驶行为；明确从事经营配送企业的主体责任，企业对所占用的社会公共资源应付出相应的成本；对从事快递外卖等网约配送活动的驾驶人发生交通事故的，企业应承担相应的连带责任；利用技术识别手段推广对非机动车的非现场执法等。</w:t>
      </w:r>
    </w:p>
    <w:p>
      <w:pPr>
        <w:overflowPunct w:val="0"/>
        <w:spacing w:line="580" w:lineRule="exact"/>
        <w:ind w:firstLine="640" w:firstLineChars="200"/>
        <w:rPr>
          <w:rFonts w:eastAsia="仿宋_GB2312"/>
          <w:sz w:val="32"/>
          <w:szCs w:val="32"/>
        </w:rPr>
      </w:pPr>
      <w:r>
        <w:rPr>
          <w:rFonts w:eastAsia="仿宋_GB2312"/>
          <w:sz w:val="32"/>
          <w:szCs w:val="32"/>
        </w:rPr>
        <w:t>监察和司法委员会认为，</w:t>
      </w:r>
      <w:r>
        <w:rPr>
          <w:rFonts w:eastAsia="仿宋_GB2312"/>
          <w:spacing w:val="-2"/>
          <w:sz w:val="32"/>
          <w:szCs w:val="32"/>
        </w:rPr>
        <w:t>非机动车安全是城市公共安全的重要组成部分，对</w:t>
      </w:r>
      <w:r>
        <w:rPr>
          <w:rFonts w:hint="eastAsia" w:eastAsia="仿宋_GB2312"/>
          <w:spacing w:val="-2"/>
          <w:sz w:val="32"/>
          <w:szCs w:val="32"/>
        </w:rPr>
        <w:t>坚持以人民为中心的发展思想，</w:t>
      </w:r>
      <w:r>
        <w:rPr>
          <w:rFonts w:eastAsia="仿宋_GB2312"/>
          <w:spacing w:val="-2"/>
          <w:sz w:val="32"/>
          <w:szCs w:val="32"/>
        </w:rPr>
        <w:t>保障</w:t>
      </w:r>
      <w:r>
        <w:rPr>
          <w:rFonts w:hint="eastAsia" w:eastAsia="仿宋_GB2312"/>
          <w:spacing w:val="-2"/>
          <w:sz w:val="32"/>
          <w:szCs w:val="32"/>
        </w:rPr>
        <w:t>人民群众生命财</w:t>
      </w:r>
      <w:r>
        <w:rPr>
          <w:rFonts w:hint="eastAsia" w:eastAsia="仿宋_GB2312"/>
          <w:sz w:val="32"/>
          <w:szCs w:val="32"/>
        </w:rPr>
        <w:t>产安全，提升城市交通</w:t>
      </w:r>
      <w:r>
        <w:rPr>
          <w:rFonts w:eastAsia="仿宋_GB2312"/>
          <w:sz w:val="32"/>
          <w:szCs w:val="32"/>
        </w:rPr>
        <w:t>治理能力</w:t>
      </w:r>
      <w:r>
        <w:rPr>
          <w:rFonts w:hint="eastAsia" w:eastAsia="仿宋_GB2312"/>
          <w:sz w:val="32"/>
          <w:szCs w:val="32"/>
        </w:rPr>
        <w:t>和水平</w:t>
      </w:r>
      <w:r>
        <w:rPr>
          <w:rFonts w:eastAsia="仿宋_GB2312"/>
          <w:sz w:val="32"/>
          <w:szCs w:val="32"/>
        </w:rPr>
        <w:t>有着重要意义。</w:t>
      </w:r>
      <w:r>
        <w:rPr>
          <w:rFonts w:hint="eastAsia" w:eastAsia="仿宋_GB2312"/>
          <w:sz w:val="32"/>
          <w:szCs w:val="32"/>
        </w:rPr>
        <w:t>《北京市非机动车管理条例》自2018年11月实施以来，对规范非机动车生产、销售、登记、通行和停放，保障非机动车安全管理，发挥了积极作用。特别是在治理超标电动自行车、规范车辆销售源头、强化互联网租赁自行车监管等方面取得了显著成效。但近两年，非机动车管理面临用于快递、外卖等网约配送活动的电动自行车交通违法行为频发，非机动车交通事故比重居高不下，电动自行车充电引发多起火灾伤亡事故，社区（村）充电设施建设不足等突出问题，现行法规在应对这些新情况、新问题，尤其是满足安全管理需求方面，确有必要作进一步修改完善。法规案中提出的制定完善快递外卖企业用车的管理细则、提升技术识别手段加大执法力度等建议，具有重要的参考价值。同时，本市非机动车管理应当坚持以问题为导向，紧扣实践需求，既要有充分必要性，又要考虑修法时机可行性。</w:t>
      </w:r>
    </w:p>
    <w:p>
      <w:pPr>
        <w:overflowPunct w:val="0"/>
        <w:spacing w:line="580" w:lineRule="exact"/>
        <w:ind w:firstLine="640" w:firstLineChars="200"/>
        <w:rPr>
          <w:rFonts w:ascii="黑体" w:hAnsi="黑体" w:eastAsia="黑体"/>
          <w:sz w:val="32"/>
          <w:szCs w:val="32"/>
        </w:rPr>
      </w:pPr>
      <w:r>
        <w:rPr>
          <w:rFonts w:ascii="黑体" w:hAnsi="黑体" w:eastAsia="黑体"/>
          <w:sz w:val="32"/>
          <w:szCs w:val="32"/>
        </w:rPr>
        <w:t>一、需要进一步研究的问题</w:t>
      </w:r>
    </w:p>
    <w:p>
      <w:pPr>
        <w:overflowPunct w:val="0"/>
        <w:spacing w:line="580" w:lineRule="exact"/>
        <w:ind w:firstLine="643" w:firstLineChars="200"/>
        <w:rPr>
          <w:rFonts w:ascii="楷体_GB2312" w:eastAsia="楷体_GB2312"/>
          <w:b/>
          <w:sz w:val="32"/>
          <w:szCs w:val="32"/>
        </w:rPr>
      </w:pPr>
      <w:r>
        <w:rPr>
          <w:rFonts w:hint="eastAsia" w:ascii="楷体_GB2312" w:eastAsia="楷体_GB2312"/>
          <w:b/>
          <w:sz w:val="32"/>
          <w:szCs w:val="32"/>
        </w:rPr>
        <w:t>（一）关于对电动两轮车、电动三四轮车统一立法的建议</w:t>
      </w:r>
    </w:p>
    <w:p>
      <w:pPr>
        <w:overflowPunct w:val="0"/>
        <w:spacing w:line="580" w:lineRule="exact"/>
        <w:ind w:firstLine="640" w:firstLineChars="200"/>
        <w:rPr>
          <w:rFonts w:eastAsia="仿宋_GB2312"/>
          <w:sz w:val="32"/>
          <w:szCs w:val="32"/>
        </w:rPr>
      </w:pPr>
      <w:r>
        <w:rPr>
          <w:rFonts w:hint="eastAsia" w:eastAsia="仿宋_GB2312"/>
          <w:sz w:val="32"/>
          <w:szCs w:val="32"/>
        </w:rPr>
        <w:t>法规案建议将电动两轮车、电动三四轮车统称为“电动非机动车”，进行统一立法。按照现行《中华人民共和国道路交通安全法》第一百一十九条规定，非机动车是指以人力或者畜力驱动，上道路行驶的交通工具，以及虽有动力装置驱动但设计最高时速、空车质量、外形尺寸符合有关国家标准的残疾人机动轮椅车、电动自行车等交通工具。《北京市实施</w:t>
      </w:r>
      <w:r>
        <w:rPr>
          <w:rFonts w:hint="eastAsia" w:ascii="仿宋_GB2312" w:eastAsia="仿宋_GB2312"/>
          <w:sz w:val="32"/>
          <w:szCs w:val="32"/>
        </w:rPr>
        <w:t>〈</w:t>
      </w:r>
      <w:r>
        <w:rPr>
          <w:rFonts w:hint="eastAsia" w:eastAsia="仿宋_GB2312"/>
          <w:sz w:val="32"/>
          <w:szCs w:val="32"/>
        </w:rPr>
        <w:t>中华人民共和国道路交通安全法</w:t>
      </w:r>
      <w:r>
        <w:rPr>
          <w:rFonts w:hint="eastAsia" w:ascii="仿宋_GB2312" w:eastAsia="仿宋_GB2312"/>
          <w:sz w:val="32"/>
          <w:szCs w:val="32"/>
        </w:rPr>
        <w:t>〉</w:t>
      </w:r>
      <w:r>
        <w:rPr>
          <w:rFonts w:hint="eastAsia" w:eastAsia="仿宋_GB2312"/>
          <w:sz w:val="32"/>
          <w:szCs w:val="32"/>
        </w:rPr>
        <w:t>办法》第一百一十条规定，摩托车（含轻便摩托车），动力装置驱动的三轮车、四轮车按照国家和本市机动车管理的相关规定执行。由此可知，电动两轮车（即电动自行车）属于非机动车范畴，适用《北京市非机动车管理条例》；而电动三四轮车属于机动车范畴，不适用《北京市非机动车管理条例》。如果打破车辆属性进行统一立法属于新的立法思路，需要进一步研究其立法必要性和可行性。</w:t>
      </w:r>
    </w:p>
    <w:p>
      <w:pPr>
        <w:overflowPunct w:val="0"/>
        <w:spacing w:line="580" w:lineRule="exact"/>
        <w:ind w:firstLine="619" w:firstLineChars="200"/>
        <w:rPr>
          <w:rFonts w:ascii="楷体_GB2312" w:eastAsia="楷体_GB2312"/>
          <w:b/>
          <w:spacing w:val="-6"/>
          <w:sz w:val="32"/>
          <w:szCs w:val="32"/>
        </w:rPr>
      </w:pPr>
      <w:r>
        <w:rPr>
          <w:rFonts w:hint="eastAsia" w:ascii="楷体_GB2312" w:eastAsia="楷体_GB2312"/>
          <w:b/>
          <w:spacing w:val="-6"/>
          <w:sz w:val="32"/>
          <w:szCs w:val="32"/>
        </w:rPr>
        <w:t>（</w:t>
      </w:r>
      <w:r>
        <w:rPr>
          <w:rFonts w:ascii="楷体_GB2312" w:eastAsia="楷体_GB2312"/>
          <w:b/>
          <w:spacing w:val="-6"/>
          <w:sz w:val="32"/>
          <w:szCs w:val="32"/>
        </w:rPr>
        <w:t>二</w:t>
      </w:r>
      <w:r>
        <w:rPr>
          <w:rFonts w:hint="eastAsia" w:ascii="楷体_GB2312" w:eastAsia="楷体_GB2312"/>
          <w:b/>
          <w:spacing w:val="-6"/>
          <w:sz w:val="32"/>
          <w:szCs w:val="32"/>
        </w:rPr>
        <w:t>）关于加大对快递外卖骑手交通违法行为处罚力度的建议</w:t>
      </w:r>
    </w:p>
    <w:p>
      <w:pPr>
        <w:overflowPunct w:val="0"/>
        <w:spacing w:line="580" w:lineRule="exact"/>
        <w:ind w:firstLine="640" w:firstLineChars="200"/>
        <w:rPr>
          <w:rFonts w:eastAsia="仿宋_GB2312"/>
          <w:sz w:val="32"/>
          <w:szCs w:val="32"/>
        </w:rPr>
      </w:pPr>
      <w:r>
        <w:rPr>
          <w:rFonts w:hint="eastAsia" w:eastAsia="仿宋_GB2312"/>
          <w:sz w:val="32"/>
          <w:szCs w:val="32"/>
        </w:rPr>
        <w:t>法规案提出，对因快递外卖车辆交通违法导致发生交通事故的，要加大对快递外卖责任方的处罚力度。由于骑手交通违法大多是受企业“算法”驱使，建议也要对相关企业进行处罚。监察和司法委员会认为，强化企业对交通安全和消防安全的主体责任非常有必要，必须要求企业加大对员工的教育培训和管理监督。但对于交通事故的责任认定，《中华人民共和国道路交通安全法》和国务院《道路交通安全法实施条例》等法律、行政法规均有明确规定，应当根据交通事故当事人的行为对发生交通事故所起的作用以及过错的严重程度，确定当事人的责任。地方立法无权加重当事人责任并追究当事人以外的行为人的责任。除非有足够的证据证明，企业“算法”是导致交通事故的直接原因，否则很难认定企业在交通事故中应当承担的责任。</w:t>
      </w:r>
    </w:p>
    <w:p>
      <w:pPr>
        <w:overflowPunct w:val="0"/>
        <w:spacing w:line="580" w:lineRule="exact"/>
        <w:ind w:firstLine="643" w:firstLineChars="200"/>
        <w:rPr>
          <w:rFonts w:ascii="楷体_GB2312" w:eastAsia="楷体_GB2312"/>
          <w:b/>
          <w:sz w:val="32"/>
          <w:szCs w:val="32"/>
        </w:rPr>
      </w:pPr>
      <w:r>
        <w:rPr>
          <w:rFonts w:hint="eastAsia" w:ascii="楷体_GB2312" w:eastAsia="楷体_GB2312"/>
          <w:b/>
          <w:sz w:val="32"/>
          <w:szCs w:val="32"/>
        </w:rPr>
        <w:t>（</w:t>
      </w:r>
      <w:r>
        <w:rPr>
          <w:rFonts w:ascii="楷体_GB2312" w:eastAsia="楷体_GB2312"/>
          <w:b/>
          <w:sz w:val="32"/>
          <w:szCs w:val="32"/>
        </w:rPr>
        <w:t>三</w:t>
      </w:r>
      <w:r>
        <w:rPr>
          <w:rFonts w:hint="eastAsia" w:ascii="楷体_GB2312" w:eastAsia="楷体_GB2312"/>
          <w:b/>
          <w:sz w:val="32"/>
          <w:szCs w:val="32"/>
        </w:rPr>
        <w:t>）关于开展非现场执法的建议</w:t>
      </w:r>
    </w:p>
    <w:p>
      <w:pPr>
        <w:overflowPunct w:val="0"/>
        <w:spacing w:line="580" w:lineRule="exact"/>
        <w:ind w:firstLine="640" w:firstLineChars="200"/>
        <w:rPr>
          <w:rFonts w:eastAsia="仿宋_GB2312"/>
          <w:sz w:val="32"/>
          <w:szCs w:val="32"/>
        </w:rPr>
      </w:pPr>
      <w:r>
        <w:rPr>
          <w:rFonts w:hint="eastAsia" w:eastAsia="仿宋_GB2312"/>
          <w:sz w:val="32"/>
          <w:szCs w:val="32"/>
        </w:rPr>
        <w:t>法规案建议，加快研发针对物流配送电动非机动车和从业人员的技术识别手段，广泛实现非现场执法，通过信息通报、联合执法、案件移送等方式实现高效综合治理。据了解，江苏省、浙江省杭州市、广东省深圳市等兄弟省市已开展对电动自行车的非现场执法，取得了一定的成效。但总体上看，兄弟省市推行非机动车非现场执法</w:t>
      </w:r>
      <w:r>
        <w:rPr>
          <w:rFonts w:eastAsia="仿宋_GB2312"/>
          <w:sz w:val="32"/>
          <w:szCs w:val="32"/>
        </w:rPr>
        <w:t>工作的时间尚短，现处于探索尝试积累经验的阶段，建议在有一定工作实践基础后再行立法比较适宜。</w:t>
      </w:r>
    </w:p>
    <w:p>
      <w:pPr>
        <w:overflowPunct w:val="0"/>
        <w:spacing w:line="580" w:lineRule="exact"/>
        <w:ind w:firstLine="640" w:firstLineChars="200"/>
        <w:rPr>
          <w:rFonts w:ascii="黑体" w:hAnsi="黑体" w:eastAsia="黑体"/>
          <w:sz w:val="32"/>
          <w:szCs w:val="32"/>
        </w:rPr>
      </w:pPr>
      <w:r>
        <w:rPr>
          <w:rFonts w:ascii="黑体" w:hAnsi="黑体" w:eastAsia="黑体"/>
          <w:sz w:val="32"/>
          <w:szCs w:val="32"/>
        </w:rPr>
        <w:t>二、下一步工作建议</w:t>
      </w:r>
    </w:p>
    <w:p>
      <w:pPr>
        <w:overflowPunct w:val="0"/>
        <w:spacing w:line="580" w:lineRule="exact"/>
        <w:ind w:firstLine="640" w:firstLineChars="200"/>
        <w:rPr>
          <w:rFonts w:eastAsia="仿宋_GB2312"/>
          <w:sz w:val="32"/>
          <w:szCs w:val="32"/>
        </w:rPr>
      </w:pPr>
      <w:r>
        <w:rPr>
          <w:rFonts w:hint="eastAsia" w:eastAsia="仿宋_GB2312"/>
          <w:sz w:val="32"/>
          <w:szCs w:val="32"/>
        </w:rPr>
        <w:t>据了解，公安部已经启动《中华人民共和国道路交通安全法》的修法进程，目前已提交司法部在征求各省市及相关部门的意见建议。监察和司法委员会将密切关注全国人大修法进程，结合市人大常委会今年对法规进行执法检查时发现的问题，</w:t>
      </w:r>
      <w:r>
        <w:rPr>
          <w:rFonts w:eastAsia="仿宋_GB2312"/>
          <w:sz w:val="32"/>
          <w:szCs w:val="32"/>
        </w:rPr>
        <w:t>综合考虑本</w:t>
      </w:r>
      <w:r>
        <w:rPr>
          <w:rFonts w:eastAsia="仿宋_GB2312"/>
          <w:spacing w:val="-6"/>
          <w:sz w:val="32"/>
          <w:szCs w:val="32"/>
        </w:rPr>
        <w:t>市</w:t>
      </w:r>
      <w:r>
        <w:rPr>
          <w:rFonts w:hint="eastAsia" w:eastAsia="仿宋_GB2312"/>
          <w:spacing w:val="-6"/>
          <w:sz w:val="32"/>
          <w:szCs w:val="32"/>
        </w:rPr>
        <w:t>非机动车管理</w:t>
      </w:r>
      <w:r>
        <w:rPr>
          <w:rFonts w:eastAsia="仿宋_GB2312"/>
          <w:spacing w:val="-6"/>
          <w:sz w:val="32"/>
          <w:szCs w:val="32"/>
        </w:rPr>
        <w:t>实践</w:t>
      </w:r>
      <w:r>
        <w:rPr>
          <w:rFonts w:hint="eastAsia" w:eastAsia="仿宋_GB2312"/>
          <w:spacing w:val="-6"/>
          <w:sz w:val="32"/>
          <w:szCs w:val="32"/>
        </w:rPr>
        <w:t>和修法</w:t>
      </w:r>
      <w:r>
        <w:rPr>
          <w:rFonts w:eastAsia="仿宋_GB2312"/>
          <w:spacing w:val="-6"/>
          <w:sz w:val="32"/>
          <w:szCs w:val="32"/>
        </w:rPr>
        <w:t>需求</w:t>
      </w:r>
      <w:r>
        <w:rPr>
          <w:rFonts w:hint="eastAsia" w:eastAsia="仿宋_GB2312"/>
          <w:spacing w:val="-6"/>
          <w:sz w:val="32"/>
          <w:szCs w:val="32"/>
        </w:rPr>
        <w:t>，对非机动车管理</w:t>
      </w:r>
      <w:r>
        <w:rPr>
          <w:rFonts w:eastAsia="仿宋_GB2312"/>
          <w:spacing w:val="-6"/>
          <w:sz w:val="32"/>
          <w:szCs w:val="32"/>
        </w:rPr>
        <w:t>工作开展深入研究，待条件成熟，列入</w:t>
      </w:r>
      <w:r>
        <w:rPr>
          <w:rFonts w:hint="eastAsia" w:eastAsia="仿宋_GB2312"/>
          <w:spacing w:val="-6"/>
          <w:sz w:val="32"/>
          <w:szCs w:val="32"/>
        </w:rPr>
        <w:t>新版</w:t>
      </w:r>
      <w:r>
        <w:rPr>
          <w:rFonts w:eastAsia="仿宋_GB2312"/>
          <w:spacing w:val="-6"/>
          <w:sz w:val="32"/>
          <w:szCs w:val="32"/>
        </w:rPr>
        <w:t>市人大常委会</w:t>
      </w:r>
      <w:r>
        <w:rPr>
          <w:rFonts w:hint="eastAsia" w:eastAsia="仿宋_GB2312"/>
          <w:spacing w:val="-6"/>
          <w:sz w:val="32"/>
          <w:szCs w:val="32"/>
        </w:rPr>
        <w:t>五年</w:t>
      </w:r>
      <w:r>
        <w:rPr>
          <w:rFonts w:eastAsia="仿宋_GB2312"/>
          <w:spacing w:val="-6"/>
          <w:sz w:val="32"/>
          <w:szCs w:val="32"/>
        </w:rPr>
        <w:t>立法规划</w:t>
      </w:r>
      <w:r>
        <w:rPr>
          <w:rFonts w:hint="eastAsia" w:eastAsia="仿宋_GB2312"/>
          <w:spacing w:val="-6"/>
          <w:sz w:val="32"/>
          <w:szCs w:val="32"/>
        </w:rPr>
        <w:t>予以考虑</w:t>
      </w:r>
      <w:r>
        <w:rPr>
          <w:rFonts w:eastAsia="仿宋_GB2312"/>
          <w:spacing w:val="-6"/>
          <w:sz w:val="32"/>
          <w:szCs w:val="32"/>
        </w:rPr>
        <w:t>。</w:t>
      </w:r>
    </w:p>
    <w:sectPr>
      <w:footerReference r:id="rId3" w:type="default"/>
      <w:footerReference r:id="rId4" w:type="even"/>
      <w:pgSz w:w="11906" w:h="16838"/>
      <w:pgMar w:top="2098" w:right="1418" w:bottom="1871" w:left="141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w:t>
    </w:r>
    <w:r>
      <w:rPr>
        <w:sz w:val="28"/>
        <w:szCs w:val="28"/>
      </w:rPr>
      <w:fldChar w:fldCharType="end"/>
    </w:r>
    <w:r>
      <w:rPr>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YjA4OTVkNTUwNDg4MWRjYmNlMTFhZDYxODIwYTMifQ=="/>
  </w:docVars>
  <w:rsids>
    <w:rsidRoot w:val="00172A27"/>
    <w:rsid w:val="00023CB2"/>
    <w:rsid w:val="00023DFA"/>
    <w:rsid w:val="00032812"/>
    <w:rsid w:val="000368E4"/>
    <w:rsid w:val="000509B6"/>
    <w:rsid w:val="00061D97"/>
    <w:rsid w:val="00075F3B"/>
    <w:rsid w:val="000825A5"/>
    <w:rsid w:val="0008337D"/>
    <w:rsid w:val="00087F62"/>
    <w:rsid w:val="00090F8F"/>
    <w:rsid w:val="000A37D5"/>
    <w:rsid w:val="000A5041"/>
    <w:rsid w:val="000D6D7E"/>
    <w:rsid w:val="000F1047"/>
    <w:rsid w:val="00102EF1"/>
    <w:rsid w:val="00105377"/>
    <w:rsid w:val="0012035D"/>
    <w:rsid w:val="0012470C"/>
    <w:rsid w:val="00126F41"/>
    <w:rsid w:val="001331DD"/>
    <w:rsid w:val="001405B9"/>
    <w:rsid w:val="0014305C"/>
    <w:rsid w:val="0014670C"/>
    <w:rsid w:val="00152EEB"/>
    <w:rsid w:val="00172A27"/>
    <w:rsid w:val="00177084"/>
    <w:rsid w:val="001836BB"/>
    <w:rsid w:val="0018426F"/>
    <w:rsid w:val="001875D1"/>
    <w:rsid w:val="00191107"/>
    <w:rsid w:val="001A34DB"/>
    <w:rsid w:val="001C19DC"/>
    <w:rsid w:val="001C48FD"/>
    <w:rsid w:val="001D1A72"/>
    <w:rsid w:val="001D3D54"/>
    <w:rsid w:val="001D4E34"/>
    <w:rsid w:val="001E5092"/>
    <w:rsid w:val="001E7465"/>
    <w:rsid w:val="001F1E86"/>
    <w:rsid w:val="001F34FE"/>
    <w:rsid w:val="00202329"/>
    <w:rsid w:val="00204914"/>
    <w:rsid w:val="002328C9"/>
    <w:rsid w:val="002444EB"/>
    <w:rsid w:val="002451E7"/>
    <w:rsid w:val="00247C2D"/>
    <w:rsid w:val="00251BA4"/>
    <w:rsid w:val="0026049A"/>
    <w:rsid w:val="00266BD7"/>
    <w:rsid w:val="002708D3"/>
    <w:rsid w:val="002713DB"/>
    <w:rsid w:val="002754F2"/>
    <w:rsid w:val="00280CFB"/>
    <w:rsid w:val="00284E00"/>
    <w:rsid w:val="00284E3F"/>
    <w:rsid w:val="002874DE"/>
    <w:rsid w:val="00287D95"/>
    <w:rsid w:val="00291ED7"/>
    <w:rsid w:val="002B0BCB"/>
    <w:rsid w:val="002B5FE7"/>
    <w:rsid w:val="002B6959"/>
    <w:rsid w:val="002E29B3"/>
    <w:rsid w:val="002E3BD8"/>
    <w:rsid w:val="002E5BB0"/>
    <w:rsid w:val="002F26B2"/>
    <w:rsid w:val="002F56C0"/>
    <w:rsid w:val="002F74BC"/>
    <w:rsid w:val="00307F26"/>
    <w:rsid w:val="00315155"/>
    <w:rsid w:val="00320CA7"/>
    <w:rsid w:val="00345E5D"/>
    <w:rsid w:val="0035700C"/>
    <w:rsid w:val="003620B7"/>
    <w:rsid w:val="00364C24"/>
    <w:rsid w:val="00386207"/>
    <w:rsid w:val="00390AAF"/>
    <w:rsid w:val="00391A6A"/>
    <w:rsid w:val="003A0C9E"/>
    <w:rsid w:val="003A2990"/>
    <w:rsid w:val="003A3699"/>
    <w:rsid w:val="003B621F"/>
    <w:rsid w:val="003C1AB4"/>
    <w:rsid w:val="003C4739"/>
    <w:rsid w:val="003D1B87"/>
    <w:rsid w:val="003E5A71"/>
    <w:rsid w:val="003E69A0"/>
    <w:rsid w:val="003F069F"/>
    <w:rsid w:val="003F53C8"/>
    <w:rsid w:val="00401826"/>
    <w:rsid w:val="004052F5"/>
    <w:rsid w:val="004500ED"/>
    <w:rsid w:val="004641E1"/>
    <w:rsid w:val="00474C57"/>
    <w:rsid w:val="00474D6D"/>
    <w:rsid w:val="004824DB"/>
    <w:rsid w:val="004875A8"/>
    <w:rsid w:val="004A273A"/>
    <w:rsid w:val="004A3310"/>
    <w:rsid w:val="004A5B44"/>
    <w:rsid w:val="004B51DE"/>
    <w:rsid w:val="004B5DD4"/>
    <w:rsid w:val="004C79BC"/>
    <w:rsid w:val="004D2667"/>
    <w:rsid w:val="004D3DB8"/>
    <w:rsid w:val="004D6461"/>
    <w:rsid w:val="004E0A2A"/>
    <w:rsid w:val="004E303B"/>
    <w:rsid w:val="004E6B3B"/>
    <w:rsid w:val="004F19D6"/>
    <w:rsid w:val="004F2C86"/>
    <w:rsid w:val="004F46BC"/>
    <w:rsid w:val="004F46E7"/>
    <w:rsid w:val="004F5AA2"/>
    <w:rsid w:val="00503571"/>
    <w:rsid w:val="005064E7"/>
    <w:rsid w:val="00507DF5"/>
    <w:rsid w:val="00517DEF"/>
    <w:rsid w:val="005376B5"/>
    <w:rsid w:val="00537FE6"/>
    <w:rsid w:val="0054054E"/>
    <w:rsid w:val="00543B7E"/>
    <w:rsid w:val="00543BFC"/>
    <w:rsid w:val="00545D7C"/>
    <w:rsid w:val="00553D07"/>
    <w:rsid w:val="005645D9"/>
    <w:rsid w:val="00575D69"/>
    <w:rsid w:val="005826C1"/>
    <w:rsid w:val="00582778"/>
    <w:rsid w:val="005850FD"/>
    <w:rsid w:val="00586048"/>
    <w:rsid w:val="0059312A"/>
    <w:rsid w:val="00595007"/>
    <w:rsid w:val="005970A0"/>
    <w:rsid w:val="005A791A"/>
    <w:rsid w:val="005B2FA8"/>
    <w:rsid w:val="005B46D9"/>
    <w:rsid w:val="005B4D0B"/>
    <w:rsid w:val="005C154D"/>
    <w:rsid w:val="005C2854"/>
    <w:rsid w:val="005C3ABC"/>
    <w:rsid w:val="005D585E"/>
    <w:rsid w:val="005D6CB4"/>
    <w:rsid w:val="005E27E6"/>
    <w:rsid w:val="005E71E7"/>
    <w:rsid w:val="005E7E33"/>
    <w:rsid w:val="00613899"/>
    <w:rsid w:val="00620B45"/>
    <w:rsid w:val="00625379"/>
    <w:rsid w:val="006434D3"/>
    <w:rsid w:val="006441E1"/>
    <w:rsid w:val="006604B0"/>
    <w:rsid w:val="00670180"/>
    <w:rsid w:val="00674A90"/>
    <w:rsid w:val="00697569"/>
    <w:rsid w:val="006A294F"/>
    <w:rsid w:val="006B6EAD"/>
    <w:rsid w:val="006C29B0"/>
    <w:rsid w:val="006C368C"/>
    <w:rsid w:val="006D2F7C"/>
    <w:rsid w:val="006D561F"/>
    <w:rsid w:val="006F2FFA"/>
    <w:rsid w:val="006F53A3"/>
    <w:rsid w:val="00700A64"/>
    <w:rsid w:val="007071C5"/>
    <w:rsid w:val="0071316B"/>
    <w:rsid w:val="007165B0"/>
    <w:rsid w:val="00724D1E"/>
    <w:rsid w:val="00727FF2"/>
    <w:rsid w:val="00763ABD"/>
    <w:rsid w:val="007723D9"/>
    <w:rsid w:val="0078723B"/>
    <w:rsid w:val="00790577"/>
    <w:rsid w:val="0079415F"/>
    <w:rsid w:val="007B21F0"/>
    <w:rsid w:val="007B38C1"/>
    <w:rsid w:val="007B65F9"/>
    <w:rsid w:val="007C4836"/>
    <w:rsid w:val="007C561B"/>
    <w:rsid w:val="007D4325"/>
    <w:rsid w:val="007F1C50"/>
    <w:rsid w:val="00800E3C"/>
    <w:rsid w:val="0080584C"/>
    <w:rsid w:val="008513E5"/>
    <w:rsid w:val="00851DCB"/>
    <w:rsid w:val="00852346"/>
    <w:rsid w:val="008533B5"/>
    <w:rsid w:val="008578EA"/>
    <w:rsid w:val="008644AD"/>
    <w:rsid w:val="0088480E"/>
    <w:rsid w:val="0088695B"/>
    <w:rsid w:val="00886D11"/>
    <w:rsid w:val="00892A7F"/>
    <w:rsid w:val="00892A8E"/>
    <w:rsid w:val="008B33CB"/>
    <w:rsid w:val="008D105A"/>
    <w:rsid w:val="008E635B"/>
    <w:rsid w:val="008F3B37"/>
    <w:rsid w:val="00912E70"/>
    <w:rsid w:val="0091318F"/>
    <w:rsid w:val="00920379"/>
    <w:rsid w:val="009210E0"/>
    <w:rsid w:val="009245B6"/>
    <w:rsid w:val="00931DD6"/>
    <w:rsid w:val="00937544"/>
    <w:rsid w:val="00945081"/>
    <w:rsid w:val="0095243B"/>
    <w:rsid w:val="009553F7"/>
    <w:rsid w:val="0096161D"/>
    <w:rsid w:val="00977799"/>
    <w:rsid w:val="009809F8"/>
    <w:rsid w:val="00982099"/>
    <w:rsid w:val="00984C1A"/>
    <w:rsid w:val="00986E03"/>
    <w:rsid w:val="00993FA6"/>
    <w:rsid w:val="00995CAF"/>
    <w:rsid w:val="009B6A89"/>
    <w:rsid w:val="009C1175"/>
    <w:rsid w:val="009D023A"/>
    <w:rsid w:val="009F2CFE"/>
    <w:rsid w:val="009F473A"/>
    <w:rsid w:val="00A03BB9"/>
    <w:rsid w:val="00A050E3"/>
    <w:rsid w:val="00A10E66"/>
    <w:rsid w:val="00A203A4"/>
    <w:rsid w:val="00A335D3"/>
    <w:rsid w:val="00A4339C"/>
    <w:rsid w:val="00A44EC1"/>
    <w:rsid w:val="00A56A49"/>
    <w:rsid w:val="00A61BD4"/>
    <w:rsid w:val="00A65B4C"/>
    <w:rsid w:val="00A75C79"/>
    <w:rsid w:val="00A775D1"/>
    <w:rsid w:val="00A81B58"/>
    <w:rsid w:val="00A82DF0"/>
    <w:rsid w:val="00A82F1F"/>
    <w:rsid w:val="00A92CB9"/>
    <w:rsid w:val="00A94F8A"/>
    <w:rsid w:val="00AA0A21"/>
    <w:rsid w:val="00AA25D1"/>
    <w:rsid w:val="00AA3437"/>
    <w:rsid w:val="00AC3C4B"/>
    <w:rsid w:val="00AC68A6"/>
    <w:rsid w:val="00AD0DA0"/>
    <w:rsid w:val="00AD1AF1"/>
    <w:rsid w:val="00AE69FB"/>
    <w:rsid w:val="00AF152B"/>
    <w:rsid w:val="00B13F08"/>
    <w:rsid w:val="00B1523E"/>
    <w:rsid w:val="00B24395"/>
    <w:rsid w:val="00B4043D"/>
    <w:rsid w:val="00B41E87"/>
    <w:rsid w:val="00B46D75"/>
    <w:rsid w:val="00B46E2F"/>
    <w:rsid w:val="00B56B7B"/>
    <w:rsid w:val="00B6071F"/>
    <w:rsid w:val="00B733A0"/>
    <w:rsid w:val="00B807E6"/>
    <w:rsid w:val="00B814E1"/>
    <w:rsid w:val="00B8165F"/>
    <w:rsid w:val="00B82A0F"/>
    <w:rsid w:val="00B856D3"/>
    <w:rsid w:val="00B85D1A"/>
    <w:rsid w:val="00B931ED"/>
    <w:rsid w:val="00BA1497"/>
    <w:rsid w:val="00BA4A0E"/>
    <w:rsid w:val="00BA5162"/>
    <w:rsid w:val="00BA63EE"/>
    <w:rsid w:val="00BB2A6C"/>
    <w:rsid w:val="00BC2614"/>
    <w:rsid w:val="00BC3F8A"/>
    <w:rsid w:val="00BD3A43"/>
    <w:rsid w:val="00BE271F"/>
    <w:rsid w:val="00C01F2C"/>
    <w:rsid w:val="00C02BA7"/>
    <w:rsid w:val="00C0753F"/>
    <w:rsid w:val="00C1191F"/>
    <w:rsid w:val="00C216A0"/>
    <w:rsid w:val="00C26BD6"/>
    <w:rsid w:val="00C32D07"/>
    <w:rsid w:val="00C34F5D"/>
    <w:rsid w:val="00C42F5F"/>
    <w:rsid w:val="00C525B2"/>
    <w:rsid w:val="00C76A3C"/>
    <w:rsid w:val="00CA50F4"/>
    <w:rsid w:val="00CA74CF"/>
    <w:rsid w:val="00CB3FDD"/>
    <w:rsid w:val="00CB7FAB"/>
    <w:rsid w:val="00CC22E8"/>
    <w:rsid w:val="00CC2B35"/>
    <w:rsid w:val="00CD28CC"/>
    <w:rsid w:val="00D16EBD"/>
    <w:rsid w:val="00D3395F"/>
    <w:rsid w:val="00D375E2"/>
    <w:rsid w:val="00D413AF"/>
    <w:rsid w:val="00D41DFD"/>
    <w:rsid w:val="00D72243"/>
    <w:rsid w:val="00DA5EF9"/>
    <w:rsid w:val="00DB044A"/>
    <w:rsid w:val="00DB7B1A"/>
    <w:rsid w:val="00DB7BE5"/>
    <w:rsid w:val="00DC2BF2"/>
    <w:rsid w:val="00DE6DF5"/>
    <w:rsid w:val="00DF4FF0"/>
    <w:rsid w:val="00DF596E"/>
    <w:rsid w:val="00DF7B73"/>
    <w:rsid w:val="00E01B4A"/>
    <w:rsid w:val="00E147D8"/>
    <w:rsid w:val="00E20DC6"/>
    <w:rsid w:val="00E334E1"/>
    <w:rsid w:val="00E40BD6"/>
    <w:rsid w:val="00E7581F"/>
    <w:rsid w:val="00E76585"/>
    <w:rsid w:val="00E86CA2"/>
    <w:rsid w:val="00EA1CBC"/>
    <w:rsid w:val="00EA47D3"/>
    <w:rsid w:val="00EA4A45"/>
    <w:rsid w:val="00EB3CC7"/>
    <w:rsid w:val="00EB6CAF"/>
    <w:rsid w:val="00EC4F58"/>
    <w:rsid w:val="00ED0D90"/>
    <w:rsid w:val="00EE4E31"/>
    <w:rsid w:val="00EE5A76"/>
    <w:rsid w:val="00F00CC1"/>
    <w:rsid w:val="00F13285"/>
    <w:rsid w:val="00F25CC1"/>
    <w:rsid w:val="00F327AE"/>
    <w:rsid w:val="00F32C3D"/>
    <w:rsid w:val="00F364A0"/>
    <w:rsid w:val="00F47382"/>
    <w:rsid w:val="00F558B9"/>
    <w:rsid w:val="00F56499"/>
    <w:rsid w:val="00F657C8"/>
    <w:rsid w:val="00F67590"/>
    <w:rsid w:val="00F67591"/>
    <w:rsid w:val="00F71148"/>
    <w:rsid w:val="00F71FB8"/>
    <w:rsid w:val="00F81397"/>
    <w:rsid w:val="00F8447E"/>
    <w:rsid w:val="00F86285"/>
    <w:rsid w:val="00F958C1"/>
    <w:rsid w:val="00FA1CA2"/>
    <w:rsid w:val="00FA4002"/>
    <w:rsid w:val="00FC67DF"/>
    <w:rsid w:val="00FF0B76"/>
    <w:rsid w:val="315D4D19"/>
    <w:rsid w:val="5757FED9"/>
    <w:rsid w:val="76962722"/>
    <w:rsid w:val="7BFBB2E2"/>
    <w:rsid w:val="7CE03CB5"/>
    <w:rsid w:val="7DEEE8AE"/>
    <w:rsid w:val="D737411B"/>
    <w:rsid w:val="DEC78AA6"/>
    <w:rsid w:val="E2E748BE"/>
    <w:rsid w:val="E6F7E1BC"/>
    <w:rsid w:val="E7BFE6CB"/>
    <w:rsid w:val="E9BAA5A4"/>
    <w:rsid w:val="F62FE1AE"/>
    <w:rsid w:val="F73E080C"/>
    <w:rsid w:val="FAB98088"/>
    <w:rsid w:val="FB7F9538"/>
    <w:rsid w:val="FBFF211E"/>
    <w:rsid w:val="FDBF8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name="heading 2"/>
    <w:lsdException w:qFormat="1" w:uiPriority="1" w:name="heading 3"/>
    <w:lsdException w:qFormat="1" w:uiPriority="1" w:name="heading 4"/>
    <w:lsdException w:qFormat="1" w:uiPriority="1" w:name="heading 5"/>
    <w:lsdException w:qFormat="1" w:uiPriority="1" w:name="heading 6"/>
    <w:lsdException w:qFormat="1" w:uiPriority="1" w:name="heading 7"/>
    <w:lsdException w:qFormat="1" w:uiPriority="1" w:name="heading 8"/>
    <w:lsdException w:qFormat="1" w:uiPriority="1"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uiPriority="1" w:name="toc 1"/>
    <w:lsdException w:uiPriority="1" w:name="toc 2"/>
    <w:lsdException w:uiPriority="1" w:name="toc 3"/>
    <w:lsdException w:uiPriority="1" w:name="toc 4"/>
    <w:lsdException w:uiPriority="1" w:name="toc 5"/>
    <w:lsdException w:uiPriority="1" w:name="toc 6"/>
    <w:lsdException w:uiPriority="1" w:name="toc 7"/>
    <w:lsdException w:uiPriority="1" w:name="toc 8"/>
    <w:lsdException w:uiPriority="1" w:name="toc 9"/>
    <w:lsdException w:uiPriority="1" w:name="Normal Indent"/>
    <w:lsdException w:uiPriority="1" w:name="footnote text"/>
    <w:lsdException w:uiPriority="1" w:name="annotation text"/>
    <w:lsdException w:qFormat="1" w:uiPriority="1" w:semiHidden="0" w:name="header"/>
    <w:lsdException w:qFormat="1" w:unhideWhenUsed="0" w:uiPriority="99" w:semiHidden="0" w:name="footer"/>
    <w:lsdException w:uiPriority="1" w:name="index heading"/>
    <w:lsdException w:qFormat="1" w:uiPriority="1" w:name="caption"/>
    <w:lsdException w:uiPriority="1" w:name="table of figures"/>
    <w:lsdException w:uiPriority="1" w:name="envelope address"/>
    <w:lsdException w:uiPriority="1" w:name="envelope return"/>
    <w:lsdException w:uiPriority="1" w:name="footnote reference"/>
    <w:lsdException w:uiPriority="1" w:name="annotation reference"/>
    <w:lsdException w:uiPriority="1" w:name="line number"/>
    <w:lsdException w:uiPriority="1"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1" w:semiHidden="0" w:name="Title"/>
    <w:lsdException w:uiPriority="1" w:name="Closing"/>
    <w:lsdException w:uiPriority="1" w:name="Signature"/>
    <w:lsdException w:qFormat="1" w:uiPriority="1" w:name="Default Paragraph Font"/>
    <w:lsdException w:uiPriority="1" w:name="Body Text"/>
    <w:lsdException w:uiPriority="1"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uiPriority="1" w:name="Salutation"/>
    <w:lsdException w:uiPriority="1" w:name="Date"/>
    <w:lsdException w:uiPriority="1" w:name="Body Text First Indent"/>
    <w:lsdException w:uiPriority="1" w:name="Body Text First Indent 2"/>
    <w:lsdException w:uiPriority="1" w:name="Note Heading"/>
    <w:lsdException w:uiPriority="1" w:name="Body Text 2"/>
    <w:lsdException w:uiPriority="1" w:name="Body Text 3"/>
    <w:lsdException w:uiPriority="1" w:name="Body Text Indent 2"/>
    <w:lsdException w:uiPriority="1" w:name="Body Text Indent 3"/>
    <w:lsdException w:uiPriority="1" w:name="Block Text"/>
    <w:lsdException w:uiPriority="1" w:name="Hyperlink"/>
    <w:lsdException w:uiPriority="1" w:name="FollowedHyperlink"/>
    <w:lsdException w:qFormat="1" w:unhideWhenUsed="0" w:uiPriority="1" w:semiHidden="0" w:name="Strong"/>
    <w:lsdException w:qFormat="1" w:unhideWhenUsed="0" w:uiPriority="1" w:semiHidden="0" w:name="Emphasis"/>
    <w:lsdException w:uiPriority="1" w:name="Document Map"/>
    <w:lsdException w:uiPriority="1" w:name="Plain Text"/>
    <w:lsdException w:uiPriority="1" w:name="E-mail Signature"/>
    <w:lsdException w:qFormat="1" w:uiPriority="1"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uiPriority="1" w:name="HTML Sample"/>
    <w:lsdException w:uiPriority="1" w:name="HTML Typewriter"/>
    <w:lsdException w:uiPriority="1" w:name="HTML Variable"/>
    <w:lsdException w:qFormat="1" w:uiPriority="99" w:name="Normal Table"/>
    <w:lsdException w:uiPriority="1"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iPriority="1" w:semiHidden="0" w:name="Balloon Text"/>
    <w:lsdException w:unhideWhenUsed="0" w:uiPriority="1"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1"/>
    <w:rPr>
      <w:sz w:val="18"/>
      <w:szCs w:val="18"/>
    </w:rPr>
  </w:style>
  <w:style w:type="paragraph" w:styleId="3">
    <w:name w:val="footer"/>
    <w:basedOn w:val="1"/>
    <w:link w:val="10"/>
    <w:qFormat/>
    <w:uiPriority w:val="99"/>
    <w:pPr>
      <w:tabs>
        <w:tab w:val="center" w:pos="4153"/>
        <w:tab w:val="right" w:pos="8306"/>
      </w:tabs>
      <w:snapToGrid w:val="0"/>
      <w:jc w:val="left"/>
    </w:pPr>
    <w:rPr>
      <w:kern w:val="0"/>
      <w:sz w:val="18"/>
    </w:rPr>
  </w:style>
  <w:style w:type="paragraph" w:styleId="4">
    <w:name w:val="header"/>
    <w:basedOn w:val="1"/>
    <w:link w:val="11"/>
    <w:unhideWhenUsed/>
    <w:qFormat/>
    <w:uiPriority w:val="1"/>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1"/>
    <w:rPr>
      <w:sz w:val="24"/>
    </w:rPr>
  </w:style>
  <w:style w:type="character" w:customStyle="1" w:styleId="8">
    <w:name w:val="批注框文本 Char"/>
    <w:link w:val="2"/>
    <w:semiHidden/>
    <w:qFormat/>
    <w:uiPriority w:val="1"/>
    <w:rPr>
      <w:kern w:val="2"/>
      <w:sz w:val="18"/>
      <w:szCs w:val="18"/>
    </w:rPr>
  </w:style>
  <w:style w:type="character" w:customStyle="1" w:styleId="9">
    <w:name w:val="页脚 Char"/>
    <w:qFormat/>
    <w:uiPriority w:val="99"/>
  </w:style>
  <w:style w:type="character" w:customStyle="1" w:styleId="10">
    <w:name w:val="页脚 Char1"/>
    <w:link w:val="3"/>
    <w:qFormat/>
    <w:uiPriority w:val="99"/>
    <w:rPr>
      <w:rFonts w:ascii="Times New Roman" w:hAnsi="Times New Roman" w:eastAsia="宋体" w:cs="Times New Roman"/>
      <w:sz w:val="18"/>
      <w:szCs w:val="20"/>
    </w:rPr>
  </w:style>
  <w:style w:type="character" w:customStyle="1" w:styleId="11">
    <w:name w:val="页眉 Char"/>
    <w:link w:val="4"/>
    <w:qFormat/>
    <w:uiPriority w:val="1"/>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7</Pages>
  <Words>3022</Words>
  <Characters>3036</Characters>
  <Lines>21</Lines>
  <Paragraphs>6</Paragraphs>
  <TotalTime>47</TotalTime>
  <ScaleCrop>false</ScaleCrop>
  <LinksUpToDate>false</LinksUpToDate>
  <CharactersWithSpaces>3040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2020-05-17T08:26:00Z</dcterms:created>
  <dc:creator>吴晓云</dc:creator>
  <cp:lastModifiedBy>Lucy Zhang</cp:lastModifiedBy>
  <cp:lastPrinted>2022-05-17T09:30:00Z</cp:lastPrinted>
  <dcterms:modified xsi:type="dcterms:W3CDTF">2022-05-25T07:58:16Z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3F0CEEEB6BF9401A935CA6A3B379E234</vt:lpwstr>
  </property>
</Properties>
</file>